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FED1" w14:textId="77777777" w:rsidR="00111C7A" w:rsidRPr="00561AC8" w:rsidRDefault="00111C7A" w:rsidP="00111C7A">
      <w:pPr>
        <w:rPr>
          <w:rFonts w:ascii="Arial" w:hAnsi="Arial" w:cs="Arial"/>
          <w:sz w:val="44"/>
          <w:szCs w:val="44"/>
        </w:rPr>
      </w:pPr>
      <w:r w:rsidRPr="00561AC8">
        <w:rPr>
          <w:rFonts w:ascii="Arial" w:hAnsi="Arial" w:cs="Arial"/>
          <w:sz w:val="44"/>
          <w:szCs w:val="44"/>
        </w:rPr>
        <w:br/>
      </w:r>
    </w:p>
    <w:p w14:paraId="2637AD7E" w14:textId="77777777" w:rsidR="001801C9" w:rsidRPr="00561AC8" w:rsidRDefault="001801C9" w:rsidP="001801C9">
      <w:pPr>
        <w:rPr>
          <w:rFonts w:ascii="Arial" w:hAnsi="Arial" w:cs="Arial"/>
          <w:b/>
          <w:bCs/>
          <w:sz w:val="44"/>
          <w:szCs w:val="44"/>
        </w:rPr>
      </w:pPr>
    </w:p>
    <w:p w14:paraId="213061F7" w14:textId="77777777" w:rsidR="001801C9" w:rsidRPr="00561AC8" w:rsidRDefault="001801C9" w:rsidP="001801C9">
      <w:pPr>
        <w:rPr>
          <w:rFonts w:ascii="Arial" w:hAnsi="Arial" w:cs="Arial"/>
          <w:b/>
          <w:bCs/>
          <w:sz w:val="44"/>
          <w:szCs w:val="44"/>
        </w:rPr>
      </w:pPr>
    </w:p>
    <w:p w14:paraId="03BF143C" w14:textId="77777777" w:rsidR="001801C9" w:rsidRPr="00561AC8" w:rsidRDefault="001801C9" w:rsidP="001801C9">
      <w:pPr>
        <w:rPr>
          <w:rFonts w:ascii="Arial" w:hAnsi="Arial" w:cs="Arial"/>
          <w:b/>
          <w:bCs/>
          <w:sz w:val="44"/>
          <w:szCs w:val="44"/>
        </w:rPr>
      </w:pPr>
    </w:p>
    <w:p w14:paraId="1748E447" w14:textId="77777777" w:rsidR="001801C9" w:rsidRPr="00561AC8" w:rsidRDefault="001801C9" w:rsidP="001801C9">
      <w:pPr>
        <w:rPr>
          <w:rFonts w:ascii="Arial" w:hAnsi="Arial" w:cs="Arial"/>
          <w:b/>
          <w:bCs/>
          <w:sz w:val="44"/>
          <w:szCs w:val="44"/>
        </w:rPr>
      </w:pPr>
    </w:p>
    <w:p w14:paraId="2254D657" w14:textId="77777777" w:rsidR="001801C9" w:rsidRPr="00561AC8" w:rsidRDefault="001801C9" w:rsidP="001801C9">
      <w:pPr>
        <w:rPr>
          <w:rFonts w:ascii="Arial" w:hAnsi="Arial" w:cs="Arial"/>
          <w:b/>
          <w:bCs/>
          <w:sz w:val="44"/>
          <w:szCs w:val="44"/>
        </w:rPr>
      </w:pPr>
    </w:p>
    <w:p w14:paraId="05CCA969" w14:textId="77777777" w:rsidR="001801C9" w:rsidRPr="00561AC8" w:rsidRDefault="001801C9" w:rsidP="001801C9">
      <w:pPr>
        <w:rPr>
          <w:rFonts w:ascii="Arial" w:hAnsi="Arial" w:cs="Arial"/>
          <w:b/>
          <w:bCs/>
          <w:sz w:val="48"/>
          <w:szCs w:val="48"/>
        </w:rPr>
      </w:pPr>
    </w:p>
    <w:p w14:paraId="67EA8624" w14:textId="77777777" w:rsidR="001801C9" w:rsidRPr="00561AC8" w:rsidRDefault="001801C9" w:rsidP="001801C9">
      <w:pPr>
        <w:rPr>
          <w:rFonts w:ascii="Arial" w:hAnsi="Arial" w:cs="Arial"/>
          <w:b/>
          <w:bCs/>
          <w:sz w:val="48"/>
          <w:szCs w:val="48"/>
        </w:rPr>
      </w:pPr>
    </w:p>
    <w:p w14:paraId="6585E8B8" w14:textId="632050D2" w:rsidR="001801C9" w:rsidRPr="00561AC8" w:rsidRDefault="001801C9" w:rsidP="001801C9">
      <w:pPr>
        <w:rPr>
          <w:rFonts w:ascii="Arial" w:hAnsi="Arial" w:cs="Arial"/>
          <w:b/>
          <w:bCs/>
          <w:sz w:val="44"/>
          <w:szCs w:val="44"/>
        </w:rPr>
      </w:pPr>
      <w:r w:rsidRPr="00561AC8">
        <w:rPr>
          <w:rFonts w:ascii="Arial" w:hAnsi="Arial" w:cs="Arial"/>
          <w:b/>
          <w:bCs/>
          <w:sz w:val="44"/>
          <w:szCs w:val="44"/>
        </w:rPr>
        <w:t xml:space="preserve">Complaints Policy for </w:t>
      </w:r>
      <w:r w:rsidR="00561AC8" w:rsidRPr="00561AC8">
        <w:rPr>
          <w:rFonts w:ascii="Arial" w:hAnsi="Arial" w:cs="Arial"/>
          <w:b/>
          <w:bCs/>
          <w:sz w:val="44"/>
          <w:szCs w:val="44"/>
        </w:rPr>
        <w:t>The Collective</w:t>
      </w:r>
      <w:r w:rsidRPr="00561AC8">
        <w:rPr>
          <w:rFonts w:ascii="Arial" w:hAnsi="Arial" w:cs="Arial"/>
          <w:b/>
          <w:bCs/>
          <w:sz w:val="44"/>
          <w:szCs w:val="44"/>
        </w:rPr>
        <w:t xml:space="preserve"> and its established committees</w:t>
      </w:r>
    </w:p>
    <w:p w14:paraId="1D808FC5" w14:textId="77777777" w:rsidR="00B316B5" w:rsidRPr="00561AC8" w:rsidRDefault="00B316B5" w:rsidP="001801C9">
      <w:pPr>
        <w:rPr>
          <w:rFonts w:ascii="Arial" w:hAnsi="Arial" w:cs="Arial"/>
          <w:b/>
          <w:bCs/>
          <w:sz w:val="44"/>
          <w:szCs w:val="44"/>
        </w:rPr>
      </w:pPr>
    </w:p>
    <w:p w14:paraId="4254C54E" w14:textId="77777777" w:rsidR="00B316B5" w:rsidRPr="00561AC8" w:rsidRDefault="00B316B5" w:rsidP="00B316B5">
      <w:pPr>
        <w:rPr>
          <w:rFonts w:ascii="Arial" w:hAnsi="Arial" w:cs="Arial"/>
          <w:b/>
          <w:bCs/>
          <w:sz w:val="28"/>
          <w:szCs w:val="28"/>
        </w:rPr>
      </w:pPr>
      <w:r w:rsidRPr="00561AC8">
        <w:rPr>
          <w:rFonts w:ascii="Arial" w:hAnsi="Arial" w:cs="Arial"/>
          <w:b/>
          <w:bCs/>
          <w:sz w:val="28"/>
          <w:szCs w:val="28"/>
        </w:rPr>
        <w:t xml:space="preserve">Independent Human Research Ethics Collective </w:t>
      </w:r>
    </w:p>
    <w:p w14:paraId="49220ED0" w14:textId="77777777" w:rsidR="00B316B5" w:rsidRPr="00561AC8" w:rsidRDefault="00B316B5" w:rsidP="00B316B5">
      <w:pPr>
        <w:rPr>
          <w:rFonts w:ascii="Arial" w:hAnsi="Arial" w:cs="Arial"/>
          <w:sz w:val="28"/>
          <w:szCs w:val="28"/>
        </w:rPr>
      </w:pPr>
      <w:r w:rsidRPr="00561AC8">
        <w:rPr>
          <w:rFonts w:ascii="Arial" w:hAnsi="Arial" w:cs="Arial"/>
          <w:sz w:val="28"/>
          <w:szCs w:val="28"/>
        </w:rPr>
        <w:t>Effective Date: 9 March 2025</w:t>
      </w:r>
    </w:p>
    <w:p w14:paraId="35BA1491" w14:textId="77777777" w:rsidR="00111C7A" w:rsidRPr="00561AC8" w:rsidRDefault="00111C7A" w:rsidP="00111C7A">
      <w:pPr>
        <w:rPr>
          <w:rFonts w:ascii="Arial" w:hAnsi="Arial" w:cs="Arial"/>
          <w:sz w:val="48"/>
          <w:szCs w:val="48"/>
        </w:rPr>
      </w:pPr>
    </w:p>
    <w:p w14:paraId="5A953FF0" w14:textId="77777777" w:rsidR="001801C9" w:rsidRPr="00561AC8" w:rsidRDefault="001801C9" w:rsidP="00111C7A">
      <w:pPr>
        <w:rPr>
          <w:rFonts w:ascii="Arial" w:hAnsi="Arial" w:cs="Arial"/>
          <w:sz w:val="48"/>
          <w:szCs w:val="48"/>
        </w:rPr>
      </w:pPr>
    </w:p>
    <w:p w14:paraId="2563EE36" w14:textId="77777777" w:rsidR="001801C9" w:rsidRPr="00561AC8" w:rsidRDefault="001801C9" w:rsidP="00111C7A">
      <w:pPr>
        <w:rPr>
          <w:rFonts w:ascii="Arial" w:hAnsi="Arial" w:cs="Arial"/>
          <w:sz w:val="44"/>
          <w:szCs w:val="44"/>
        </w:rPr>
      </w:pPr>
    </w:p>
    <w:p w14:paraId="3C1A0552" w14:textId="77777777" w:rsidR="001801C9" w:rsidRPr="00561AC8" w:rsidRDefault="001801C9" w:rsidP="00111C7A">
      <w:pPr>
        <w:rPr>
          <w:rFonts w:ascii="Arial" w:hAnsi="Arial" w:cs="Arial"/>
          <w:sz w:val="44"/>
          <w:szCs w:val="44"/>
        </w:rPr>
      </w:pPr>
    </w:p>
    <w:p w14:paraId="51244450" w14:textId="77777777" w:rsidR="001801C9" w:rsidRPr="00561AC8" w:rsidRDefault="001801C9" w:rsidP="00111C7A">
      <w:pPr>
        <w:rPr>
          <w:rFonts w:ascii="Arial" w:hAnsi="Arial" w:cs="Arial"/>
          <w:sz w:val="44"/>
          <w:szCs w:val="44"/>
        </w:rPr>
      </w:pPr>
    </w:p>
    <w:p w14:paraId="5B9806BA" w14:textId="77777777" w:rsidR="001801C9" w:rsidRPr="00561AC8" w:rsidRDefault="001801C9" w:rsidP="00111C7A">
      <w:pPr>
        <w:rPr>
          <w:rFonts w:ascii="Arial" w:hAnsi="Arial" w:cs="Arial"/>
          <w:sz w:val="48"/>
          <w:szCs w:val="48"/>
        </w:rPr>
      </w:pPr>
    </w:p>
    <w:p w14:paraId="24F4BB25" w14:textId="77777777" w:rsidR="001801C9" w:rsidRPr="00561AC8" w:rsidRDefault="001801C9" w:rsidP="00111C7A">
      <w:pPr>
        <w:rPr>
          <w:rFonts w:ascii="Arial" w:hAnsi="Arial" w:cs="Arial"/>
        </w:rPr>
      </w:pPr>
    </w:p>
    <w:p w14:paraId="62872500" w14:textId="77777777" w:rsidR="001801C9" w:rsidRPr="00561AC8" w:rsidRDefault="001801C9" w:rsidP="00111C7A">
      <w:pPr>
        <w:rPr>
          <w:rFonts w:ascii="Arial" w:hAnsi="Arial" w:cs="Arial"/>
        </w:rPr>
      </w:pPr>
    </w:p>
    <w:p w14:paraId="161E98E6" w14:textId="77777777" w:rsidR="001801C9" w:rsidRPr="00561AC8" w:rsidRDefault="001801C9" w:rsidP="00111C7A">
      <w:pPr>
        <w:rPr>
          <w:rFonts w:ascii="Arial" w:hAnsi="Arial" w:cs="Arial"/>
        </w:rPr>
      </w:pPr>
    </w:p>
    <w:p w14:paraId="59906767" w14:textId="77777777" w:rsidR="001801C9" w:rsidRPr="00561AC8" w:rsidRDefault="001801C9" w:rsidP="00111C7A">
      <w:pPr>
        <w:rPr>
          <w:rFonts w:ascii="Arial" w:hAnsi="Arial" w:cs="Arial"/>
        </w:rPr>
      </w:pPr>
    </w:p>
    <w:p w14:paraId="6FF24A63" w14:textId="77777777" w:rsidR="001801C9" w:rsidRPr="00561AC8" w:rsidRDefault="001801C9" w:rsidP="00111C7A">
      <w:pPr>
        <w:rPr>
          <w:rFonts w:ascii="Arial" w:hAnsi="Arial" w:cs="Arial"/>
        </w:rPr>
      </w:pPr>
    </w:p>
    <w:p w14:paraId="4ACF4C85" w14:textId="77777777" w:rsidR="001801C9" w:rsidRPr="00561AC8" w:rsidRDefault="001801C9" w:rsidP="00111C7A">
      <w:pPr>
        <w:rPr>
          <w:rFonts w:ascii="Arial" w:hAnsi="Arial" w:cs="Arial"/>
        </w:rPr>
      </w:pPr>
    </w:p>
    <w:p w14:paraId="5E99834C" w14:textId="77777777" w:rsidR="001801C9" w:rsidRPr="00561AC8" w:rsidRDefault="001801C9" w:rsidP="00111C7A">
      <w:pPr>
        <w:rPr>
          <w:rFonts w:ascii="Arial" w:hAnsi="Arial" w:cs="Arial"/>
        </w:rPr>
      </w:pPr>
    </w:p>
    <w:p w14:paraId="6960A199" w14:textId="77777777" w:rsidR="001801C9" w:rsidRPr="00561AC8" w:rsidRDefault="001801C9" w:rsidP="00111C7A">
      <w:pPr>
        <w:rPr>
          <w:rFonts w:ascii="Arial" w:hAnsi="Arial" w:cs="Arial"/>
        </w:rPr>
      </w:pPr>
    </w:p>
    <w:p w14:paraId="7AC624DE" w14:textId="77777777" w:rsidR="001801C9" w:rsidRDefault="001801C9" w:rsidP="00111C7A">
      <w:pPr>
        <w:rPr>
          <w:rFonts w:ascii="Arial" w:hAnsi="Arial" w:cs="Arial"/>
        </w:rPr>
      </w:pPr>
    </w:p>
    <w:p w14:paraId="13BF9F9E" w14:textId="77777777" w:rsidR="00561AC8" w:rsidRDefault="00561AC8" w:rsidP="00111C7A">
      <w:pPr>
        <w:rPr>
          <w:rFonts w:ascii="Arial" w:hAnsi="Arial" w:cs="Arial"/>
        </w:rPr>
      </w:pPr>
    </w:p>
    <w:p w14:paraId="79569037" w14:textId="77777777" w:rsidR="00561AC8" w:rsidRPr="00561AC8" w:rsidRDefault="00561AC8" w:rsidP="00111C7A">
      <w:pPr>
        <w:rPr>
          <w:rFonts w:ascii="Arial" w:hAnsi="Arial" w:cs="Arial"/>
        </w:rPr>
      </w:pPr>
    </w:p>
    <w:p w14:paraId="3EB3D0A6" w14:textId="0DB759AB" w:rsidR="00111C7A" w:rsidRPr="00561AC8" w:rsidRDefault="00111C7A" w:rsidP="00111C7A">
      <w:pPr>
        <w:rPr>
          <w:rFonts w:ascii="Arial" w:hAnsi="Arial" w:cs="Arial"/>
        </w:rPr>
      </w:pPr>
    </w:p>
    <w:p w14:paraId="13583F35" w14:textId="77777777" w:rsidR="00111C7A" w:rsidRPr="00561AC8" w:rsidRDefault="00111C7A" w:rsidP="00111C7A">
      <w:pPr>
        <w:rPr>
          <w:rFonts w:ascii="Arial" w:hAnsi="Arial" w:cs="Arial"/>
          <w:b/>
          <w:bCs/>
        </w:rPr>
      </w:pPr>
      <w:r w:rsidRPr="00561AC8">
        <w:rPr>
          <w:rFonts w:ascii="Arial" w:hAnsi="Arial" w:cs="Arial"/>
          <w:b/>
          <w:bCs/>
        </w:rPr>
        <w:lastRenderedPageBreak/>
        <w:t>1. Purpose</w:t>
      </w:r>
    </w:p>
    <w:p w14:paraId="3B7D91FF" w14:textId="70376B42" w:rsidR="00111C7A" w:rsidRPr="00561AC8" w:rsidRDefault="00111C7A" w:rsidP="00111C7A">
      <w:pPr>
        <w:rPr>
          <w:rFonts w:ascii="Arial" w:hAnsi="Arial" w:cs="Arial"/>
        </w:rPr>
      </w:pPr>
    </w:p>
    <w:p w14:paraId="5B56B0E3" w14:textId="41E1E1FB" w:rsidR="00111C7A" w:rsidRPr="00561AC8" w:rsidRDefault="00111C7A" w:rsidP="00111C7A">
      <w:pPr>
        <w:rPr>
          <w:rFonts w:ascii="Arial" w:hAnsi="Arial" w:cs="Arial"/>
        </w:rPr>
      </w:pPr>
      <w:r w:rsidRPr="00561AC8">
        <w:rPr>
          <w:rFonts w:ascii="Arial" w:hAnsi="Arial" w:cs="Arial"/>
        </w:rPr>
        <w:t xml:space="preserve">This Complaints Policy establishes a fair, transparent, and efficient process for addressing complaints related to </w:t>
      </w:r>
      <w:r w:rsidR="00561AC8" w:rsidRPr="00561AC8">
        <w:rPr>
          <w:rFonts w:ascii="Arial" w:hAnsi="Arial" w:cs="Arial"/>
        </w:rPr>
        <w:t>The Collective</w:t>
      </w:r>
      <w:r w:rsidRPr="00561AC8">
        <w:rPr>
          <w:rFonts w:ascii="Arial" w:hAnsi="Arial" w:cs="Arial"/>
        </w:rPr>
        <w:t>’s (and its established committees) ethical review process or approved research. It applies to:</w:t>
      </w:r>
    </w:p>
    <w:p w14:paraId="27CCD8B8" w14:textId="77777777" w:rsidR="00111C7A" w:rsidRPr="00561AC8" w:rsidRDefault="00111C7A" w:rsidP="00111C7A">
      <w:pPr>
        <w:rPr>
          <w:rFonts w:ascii="Arial" w:hAnsi="Arial" w:cs="Arial"/>
        </w:rPr>
      </w:pPr>
    </w:p>
    <w:p w14:paraId="78A2E607" w14:textId="43CEACA7" w:rsidR="00111C7A" w:rsidRPr="00561AC8" w:rsidRDefault="00111C7A" w:rsidP="00111C7A">
      <w:pPr>
        <w:numPr>
          <w:ilvl w:val="0"/>
          <w:numId w:val="1"/>
        </w:numPr>
        <w:rPr>
          <w:rFonts w:ascii="Arial" w:hAnsi="Arial" w:cs="Arial"/>
        </w:rPr>
      </w:pPr>
      <w:r w:rsidRPr="00561AC8">
        <w:rPr>
          <w:rFonts w:ascii="Arial" w:hAnsi="Arial" w:cs="Arial"/>
          <w:b/>
          <w:bCs/>
        </w:rPr>
        <w:t>Applicants</w:t>
      </w:r>
      <w:r w:rsidRPr="00561AC8">
        <w:rPr>
          <w:rFonts w:ascii="Arial" w:hAnsi="Arial" w:cs="Arial"/>
        </w:rPr>
        <w:t xml:space="preserve"> dissatisfied with the </w:t>
      </w:r>
      <w:proofErr w:type="spellStart"/>
      <w:r w:rsidR="00561AC8">
        <w:rPr>
          <w:rFonts w:ascii="Arial" w:hAnsi="Arial" w:cs="Arial"/>
        </w:rPr>
        <w:t>The</w:t>
      </w:r>
      <w:proofErr w:type="spellEnd"/>
      <w:r w:rsidR="00561AC8">
        <w:rPr>
          <w:rFonts w:ascii="Arial" w:hAnsi="Arial" w:cs="Arial"/>
        </w:rPr>
        <w:t xml:space="preserve"> Collective</w:t>
      </w:r>
      <w:r w:rsidRPr="00561AC8">
        <w:rPr>
          <w:rFonts w:ascii="Arial" w:hAnsi="Arial" w:cs="Arial"/>
        </w:rPr>
        <w:t>’s review process, decisions, or procedural fairness.</w:t>
      </w:r>
    </w:p>
    <w:p w14:paraId="1C5F9CEC" w14:textId="77777777" w:rsidR="00111C7A" w:rsidRPr="00561AC8" w:rsidRDefault="00111C7A" w:rsidP="00111C7A">
      <w:pPr>
        <w:rPr>
          <w:rFonts w:ascii="Arial" w:hAnsi="Arial" w:cs="Arial"/>
        </w:rPr>
      </w:pPr>
    </w:p>
    <w:p w14:paraId="1B13BF50" w14:textId="5B7FA6D6" w:rsidR="00111C7A" w:rsidRPr="00561AC8" w:rsidRDefault="00111C7A" w:rsidP="00111C7A">
      <w:pPr>
        <w:numPr>
          <w:ilvl w:val="0"/>
          <w:numId w:val="1"/>
        </w:numPr>
        <w:rPr>
          <w:rFonts w:ascii="Arial" w:hAnsi="Arial" w:cs="Arial"/>
        </w:rPr>
      </w:pPr>
      <w:r w:rsidRPr="00561AC8">
        <w:rPr>
          <w:rFonts w:ascii="Arial" w:hAnsi="Arial" w:cs="Arial"/>
          <w:b/>
          <w:bCs/>
        </w:rPr>
        <w:t>Participants</w:t>
      </w:r>
      <w:r w:rsidRPr="00561AC8">
        <w:rPr>
          <w:rFonts w:ascii="Arial" w:hAnsi="Arial" w:cs="Arial"/>
        </w:rPr>
        <w:t xml:space="preserve"> (or their representatives, including whānau, caregivers, or welfare guardians) who believe an ethical breach has occurred in research approved by the committees, impacting their rights, safety, or well-being.</w:t>
      </w:r>
    </w:p>
    <w:p w14:paraId="5F9F0EAB" w14:textId="77777777" w:rsidR="00111C7A" w:rsidRPr="00561AC8" w:rsidRDefault="00111C7A" w:rsidP="00111C7A">
      <w:pPr>
        <w:rPr>
          <w:rFonts w:ascii="Arial" w:hAnsi="Arial" w:cs="Arial"/>
        </w:rPr>
      </w:pPr>
    </w:p>
    <w:p w14:paraId="74028F35" w14:textId="77777777" w:rsidR="00111C7A" w:rsidRPr="00561AC8" w:rsidRDefault="00111C7A" w:rsidP="00111C7A">
      <w:pPr>
        <w:rPr>
          <w:rFonts w:ascii="Arial" w:hAnsi="Arial" w:cs="Arial"/>
        </w:rPr>
      </w:pPr>
      <w:r w:rsidRPr="00561AC8">
        <w:rPr>
          <w:rFonts w:ascii="Arial" w:hAnsi="Arial" w:cs="Arial"/>
        </w:rPr>
        <w:t xml:space="preserve">The policy ensures compliance with New Zealand’s </w:t>
      </w:r>
      <w:r w:rsidRPr="00561AC8">
        <w:rPr>
          <w:rFonts w:ascii="Arial" w:hAnsi="Arial" w:cs="Arial"/>
          <w:i/>
          <w:iCs/>
        </w:rPr>
        <w:t>National Ethical Standards for Health and Disability Research</w:t>
      </w:r>
      <w:r w:rsidRPr="00561AC8">
        <w:rPr>
          <w:rFonts w:ascii="Arial" w:hAnsi="Arial" w:cs="Arial"/>
        </w:rPr>
        <w:t xml:space="preserve">, </w:t>
      </w:r>
      <w:r w:rsidRPr="00561AC8">
        <w:rPr>
          <w:rFonts w:ascii="Arial" w:hAnsi="Arial" w:cs="Arial"/>
          <w:i/>
          <w:iCs/>
        </w:rPr>
        <w:t>Code of Health and Disability Services Consumers’ Rights 1996</w:t>
      </w:r>
      <w:r w:rsidRPr="00561AC8">
        <w:rPr>
          <w:rFonts w:ascii="Arial" w:hAnsi="Arial" w:cs="Arial"/>
        </w:rPr>
        <w:t xml:space="preserve">, </w:t>
      </w:r>
      <w:r w:rsidRPr="00561AC8">
        <w:rPr>
          <w:rFonts w:ascii="Arial" w:hAnsi="Arial" w:cs="Arial"/>
          <w:i/>
          <w:iCs/>
        </w:rPr>
        <w:t>Privacy Act 2020</w:t>
      </w:r>
      <w:r w:rsidRPr="00561AC8">
        <w:rPr>
          <w:rFonts w:ascii="Arial" w:hAnsi="Arial" w:cs="Arial"/>
        </w:rPr>
        <w:t xml:space="preserve">, </w:t>
      </w:r>
      <w:r w:rsidRPr="00561AC8">
        <w:rPr>
          <w:rFonts w:ascii="Arial" w:hAnsi="Arial" w:cs="Arial"/>
          <w:i/>
          <w:iCs/>
        </w:rPr>
        <w:t>Health Information Privacy Code 2020</w:t>
      </w:r>
      <w:r w:rsidRPr="00561AC8">
        <w:rPr>
          <w:rFonts w:ascii="Arial" w:hAnsi="Arial" w:cs="Arial"/>
        </w:rPr>
        <w:t>, and principles of natural justice, while respecting cultural values (e.g., tikanga Māori, Pacific models of health) and equity for Māori, Pacific peoples, and other communities.</w:t>
      </w:r>
    </w:p>
    <w:p w14:paraId="213CE356" w14:textId="77777777" w:rsidR="00111C7A" w:rsidRPr="00561AC8" w:rsidRDefault="00111C7A" w:rsidP="00111C7A">
      <w:pPr>
        <w:rPr>
          <w:rFonts w:ascii="Arial" w:hAnsi="Arial" w:cs="Arial"/>
        </w:rPr>
      </w:pPr>
    </w:p>
    <w:p w14:paraId="37EA101E" w14:textId="6AC24DD2" w:rsidR="00111C7A" w:rsidRPr="00561AC8" w:rsidRDefault="00111C7A" w:rsidP="00111C7A">
      <w:pPr>
        <w:rPr>
          <w:rFonts w:ascii="Arial" w:hAnsi="Arial" w:cs="Arial"/>
        </w:rPr>
      </w:pPr>
    </w:p>
    <w:p w14:paraId="29791961" w14:textId="77777777" w:rsidR="00111C7A" w:rsidRPr="00561AC8" w:rsidRDefault="00111C7A" w:rsidP="00111C7A">
      <w:pPr>
        <w:rPr>
          <w:rFonts w:ascii="Arial" w:hAnsi="Arial" w:cs="Arial"/>
          <w:b/>
          <w:bCs/>
        </w:rPr>
      </w:pPr>
      <w:r w:rsidRPr="00561AC8">
        <w:rPr>
          <w:rFonts w:ascii="Arial" w:hAnsi="Arial" w:cs="Arial"/>
          <w:b/>
          <w:bCs/>
        </w:rPr>
        <w:t>2. Scope</w:t>
      </w:r>
    </w:p>
    <w:p w14:paraId="25CF66D9" w14:textId="7EB382A1" w:rsidR="00111C7A" w:rsidRPr="00561AC8" w:rsidRDefault="00111C7A" w:rsidP="00111C7A">
      <w:pPr>
        <w:rPr>
          <w:rFonts w:ascii="Arial" w:hAnsi="Arial" w:cs="Arial"/>
        </w:rPr>
      </w:pPr>
    </w:p>
    <w:p w14:paraId="20A946AF" w14:textId="77777777" w:rsidR="00111C7A" w:rsidRPr="00561AC8" w:rsidRDefault="00111C7A" w:rsidP="00111C7A">
      <w:pPr>
        <w:rPr>
          <w:rFonts w:ascii="Arial" w:hAnsi="Arial" w:cs="Arial"/>
        </w:rPr>
      </w:pPr>
      <w:r w:rsidRPr="00561AC8">
        <w:rPr>
          <w:rFonts w:ascii="Arial" w:hAnsi="Arial" w:cs="Arial"/>
        </w:rPr>
        <w:t>This policy covers:</w:t>
      </w:r>
    </w:p>
    <w:p w14:paraId="190975BA" w14:textId="77777777" w:rsidR="00111C7A" w:rsidRPr="00561AC8" w:rsidRDefault="00111C7A" w:rsidP="00111C7A">
      <w:pPr>
        <w:rPr>
          <w:rFonts w:ascii="Arial" w:hAnsi="Arial" w:cs="Arial"/>
        </w:rPr>
      </w:pPr>
    </w:p>
    <w:p w14:paraId="1AF6255B" w14:textId="01E22489" w:rsidR="00111C7A" w:rsidRPr="00561AC8" w:rsidRDefault="00111C7A" w:rsidP="00111C7A">
      <w:pPr>
        <w:numPr>
          <w:ilvl w:val="0"/>
          <w:numId w:val="2"/>
        </w:numPr>
        <w:rPr>
          <w:rFonts w:ascii="Arial" w:hAnsi="Arial" w:cs="Arial"/>
        </w:rPr>
      </w:pPr>
      <w:r w:rsidRPr="00561AC8">
        <w:rPr>
          <w:rFonts w:ascii="Arial" w:hAnsi="Arial" w:cs="Arial"/>
        </w:rPr>
        <w:t xml:space="preserve">Complaints about </w:t>
      </w:r>
      <w:r w:rsidR="00561AC8">
        <w:rPr>
          <w:rFonts w:ascii="Arial" w:hAnsi="Arial" w:cs="Arial"/>
        </w:rPr>
        <w:t>The Collective</w:t>
      </w:r>
      <w:r w:rsidRPr="00561AC8">
        <w:rPr>
          <w:rFonts w:ascii="Arial" w:hAnsi="Arial" w:cs="Arial"/>
        </w:rPr>
        <w:t>’s review process (e.g., delays, procedural errors, fairness of decisions in Sections 7.2, 7.3, 7.9 of the relevant terms of reference).</w:t>
      </w:r>
    </w:p>
    <w:p w14:paraId="7003E428" w14:textId="77777777" w:rsidR="00111C7A" w:rsidRPr="00561AC8" w:rsidRDefault="00111C7A" w:rsidP="00111C7A">
      <w:pPr>
        <w:rPr>
          <w:rFonts w:ascii="Arial" w:hAnsi="Arial" w:cs="Arial"/>
        </w:rPr>
      </w:pPr>
    </w:p>
    <w:p w14:paraId="6054B30A" w14:textId="77777777" w:rsidR="00111C7A" w:rsidRPr="00561AC8" w:rsidRDefault="00111C7A" w:rsidP="00111C7A">
      <w:pPr>
        <w:numPr>
          <w:ilvl w:val="0"/>
          <w:numId w:val="2"/>
        </w:numPr>
        <w:rPr>
          <w:rFonts w:ascii="Arial" w:hAnsi="Arial" w:cs="Arial"/>
        </w:rPr>
      </w:pPr>
      <w:r w:rsidRPr="00561AC8">
        <w:rPr>
          <w:rFonts w:ascii="Arial" w:hAnsi="Arial" w:cs="Arial"/>
        </w:rPr>
        <w:t xml:space="preserve">Complaints about ethical breaches in approved studies (e.g., participant safety, consent violations, cultural disrespect, per </w:t>
      </w:r>
      <w:r w:rsidRPr="00561AC8">
        <w:rPr>
          <w:rFonts w:ascii="Arial" w:hAnsi="Arial" w:cs="Arial"/>
          <w:i/>
          <w:iCs/>
        </w:rPr>
        <w:t>National Ethical Standards</w:t>
      </w:r>
      <w:r w:rsidRPr="00561AC8">
        <w:rPr>
          <w:rFonts w:ascii="Arial" w:hAnsi="Arial" w:cs="Arial"/>
        </w:rPr>
        <w:t xml:space="preserve"> Chapters 3–6).</w:t>
      </w:r>
    </w:p>
    <w:p w14:paraId="2C655EAD" w14:textId="77777777" w:rsidR="00111C7A" w:rsidRPr="00561AC8" w:rsidRDefault="00111C7A" w:rsidP="00111C7A">
      <w:pPr>
        <w:rPr>
          <w:rFonts w:ascii="Arial" w:hAnsi="Arial" w:cs="Arial"/>
        </w:rPr>
      </w:pPr>
    </w:p>
    <w:p w14:paraId="47EDD6BC" w14:textId="77777777" w:rsidR="00111C7A" w:rsidRPr="00561AC8" w:rsidRDefault="00111C7A" w:rsidP="00111C7A">
      <w:pPr>
        <w:numPr>
          <w:ilvl w:val="0"/>
          <w:numId w:val="2"/>
        </w:numPr>
        <w:rPr>
          <w:rFonts w:ascii="Arial" w:hAnsi="Arial" w:cs="Arial"/>
        </w:rPr>
      </w:pPr>
      <w:r w:rsidRPr="00561AC8">
        <w:rPr>
          <w:rFonts w:ascii="Arial" w:hAnsi="Arial" w:cs="Arial"/>
        </w:rPr>
        <w:t>It does not cover:</w:t>
      </w:r>
    </w:p>
    <w:p w14:paraId="14B65D7F" w14:textId="77777777" w:rsidR="00111C7A" w:rsidRPr="00561AC8" w:rsidRDefault="00111C7A" w:rsidP="00111C7A">
      <w:pPr>
        <w:rPr>
          <w:rFonts w:ascii="Arial" w:hAnsi="Arial" w:cs="Arial"/>
        </w:rPr>
      </w:pPr>
    </w:p>
    <w:p w14:paraId="0A53B381" w14:textId="77777777" w:rsidR="00111C7A" w:rsidRPr="00561AC8" w:rsidRDefault="00111C7A" w:rsidP="00111C7A">
      <w:pPr>
        <w:numPr>
          <w:ilvl w:val="1"/>
          <w:numId w:val="2"/>
        </w:numPr>
        <w:rPr>
          <w:rFonts w:ascii="Arial" w:hAnsi="Arial" w:cs="Arial"/>
        </w:rPr>
      </w:pPr>
      <w:r w:rsidRPr="00561AC8">
        <w:rPr>
          <w:rFonts w:ascii="Arial" w:hAnsi="Arial" w:cs="Arial"/>
        </w:rPr>
        <w:t>Commercial, legal, financial, or contractual disputes (refer to relevant authorities).</w:t>
      </w:r>
    </w:p>
    <w:p w14:paraId="481A2119" w14:textId="77777777" w:rsidR="00111C7A" w:rsidRPr="00561AC8" w:rsidRDefault="00111C7A" w:rsidP="00111C7A">
      <w:pPr>
        <w:rPr>
          <w:rFonts w:ascii="Arial" w:hAnsi="Arial" w:cs="Arial"/>
        </w:rPr>
      </w:pPr>
    </w:p>
    <w:p w14:paraId="2D748FA1" w14:textId="77777777" w:rsidR="00111C7A" w:rsidRPr="00561AC8" w:rsidRDefault="00111C7A" w:rsidP="00111C7A">
      <w:pPr>
        <w:numPr>
          <w:ilvl w:val="1"/>
          <w:numId w:val="2"/>
        </w:numPr>
        <w:rPr>
          <w:rFonts w:ascii="Arial" w:hAnsi="Arial" w:cs="Arial"/>
        </w:rPr>
      </w:pPr>
      <w:r w:rsidRPr="00561AC8">
        <w:rPr>
          <w:rFonts w:ascii="Arial" w:hAnsi="Arial" w:cs="Arial"/>
        </w:rPr>
        <w:t>Disciplinary or employment matters (refer to institutions or legal bodies).</w:t>
      </w:r>
    </w:p>
    <w:p w14:paraId="6BB6DB44" w14:textId="77777777" w:rsidR="00111C7A" w:rsidRPr="00561AC8" w:rsidRDefault="00111C7A" w:rsidP="00111C7A">
      <w:pPr>
        <w:rPr>
          <w:rFonts w:ascii="Arial" w:hAnsi="Arial" w:cs="Arial"/>
        </w:rPr>
      </w:pPr>
    </w:p>
    <w:p w14:paraId="6106C05A" w14:textId="77777777" w:rsidR="00111C7A" w:rsidRPr="00561AC8" w:rsidRDefault="00111C7A" w:rsidP="00111C7A">
      <w:pPr>
        <w:numPr>
          <w:ilvl w:val="1"/>
          <w:numId w:val="2"/>
        </w:numPr>
        <w:rPr>
          <w:rFonts w:ascii="Arial" w:hAnsi="Arial" w:cs="Arial"/>
        </w:rPr>
      </w:pPr>
      <w:r w:rsidRPr="00561AC8">
        <w:rPr>
          <w:rFonts w:ascii="Arial" w:hAnsi="Arial" w:cs="Arial"/>
        </w:rPr>
        <w:t xml:space="preserve">Findings under the </w:t>
      </w:r>
      <w:r w:rsidRPr="00561AC8">
        <w:rPr>
          <w:rFonts w:ascii="Arial" w:hAnsi="Arial" w:cs="Arial"/>
          <w:i/>
          <w:iCs/>
        </w:rPr>
        <w:t>Code of Health and Disability Services Consumers’ Rights</w:t>
      </w:r>
      <w:r w:rsidRPr="00561AC8">
        <w:rPr>
          <w:rFonts w:ascii="Arial" w:hAnsi="Arial" w:cs="Arial"/>
        </w:rPr>
        <w:t xml:space="preserve">, </w:t>
      </w:r>
      <w:r w:rsidRPr="00561AC8">
        <w:rPr>
          <w:rFonts w:ascii="Arial" w:hAnsi="Arial" w:cs="Arial"/>
          <w:i/>
          <w:iCs/>
        </w:rPr>
        <w:t>Privacy Act 2020</w:t>
      </w:r>
      <w:r w:rsidRPr="00561AC8">
        <w:rPr>
          <w:rFonts w:ascii="Arial" w:hAnsi="Arial" w:cs="Arial"/>
        </w:rPr>
        <w:t xml:space="preserve">, or </w:t>
      </w:r>
      <w:r w:rsidRPr="00561AC8">
        <w:rPr>
          <w:rFonts w:ascii="Arial" w:hAnsi="Arial" w:cs="Arial"/>
          <w:i/>
          <w:iCs/>
        </w:rPr>
        <w:t>Health Information Privacy Code 2020</w:t>
      </w:r>
      <w:r w:rsidRPr="00561AC8">
        <w:rPr>
          <w:rFonts w:ascii="Arial" w:hAnsi="Arial" w:cs="Arial"/>
        </w:rPr>
        <w:t xml:space="preserve"> (refer to the Health and Disability Commissioner or Privacy Commissioner).</w:t>
      </w:r>
    </w:p>
    <w:p w14:paraId="4B90DD3F" w14:textId="77777777" w:rsidR="00111C7A" w:rsidRPr="00561AC8" w:rsidRDefault="00111C7A" w:rsidP="00111C7A">
      <w:pPr>
        <w:rPr>
          <w:rFonts w:ascii="Arial" w:hAnsi="Arial" w:cs="Arial"/>
        </w:rPr>
      </w:pPr>
    </w:p>
    <w:p w14:paraId="0F84863E" w14:textId="430BC6E3" w:rsidR="00111C7A" w:rsidRPr="00561AC8" w:rsidRDefault="00111C7A" w:rsidP="00111C7A">
      <w:pPr>
        <w:rPr>
          <w:rFonts w:ascii="Arial" w:hAnsi="Arial" w:cs="Arial"/>
        </w:rPr>
      </w:pPr>
      <w:r w:rsidRPr="00561AC8">
        <w:rPr>
          <w:rFonts w:ascii="Arial" w:hAnsi="Arial" w:cs="Arial"/>
        </w:rPr>
        <w:t xml:space="preserve">Complaints must relate to </w:t>
      </w:r>
      <w:r w:rsidR="00561AC8">
        <w:rPr>
          <w:rFonts w:ascii="Arial" w:hAnsi="Arial" w:cs="Arial"/>
        </w:rPr>
        <w:t>The C</w:t>
      </w:r>
      <w:r w:rsidRPr="00561AC8">
        <w:rPr>
          <w:rFonts w:ascii="Arial" w:hAnsi="Arial" w:cs="Arial"/>
        </w:rPr>
        <w:t xml:space="preserve">ollective decisions or approved research, not individual member actions (unless acting under </w:t>
      </w:r>
      <w:r w:rsidR="00561AC8">
        <w:rPr>
          <w:rFonts w:ascii="Arial" w:hAnsi="Arial" w:cs="Arial"/>
        </w:rPr>
        <w:t>The Collective</w:t>
      </w:r>
      <w:r w:rsidRPr="00561AC8">
        <w:rPr>
          <w:rFonts w:ascii="Arial" w:hAnsi="Arial" w:cs="Arial"/>
        </w:rPr>
        <w:t xml:space="preserve"> authority, per Section 5.7).</w:t>
      </w:r>
    </w:p>
    <w:p w14:paraId="6A1EAF85" w14:textId="77777777" w:rsidR="00111C7A" w:rsidRPr="00561AC8" w:rsidRDefault="00111C7A" w:rsidP="00111C7A">
      <w:pPr>
        <w:rPr>
          <w:rFonts w:ascii="Arial" w:hAnsi="Arial" w:cs="Arial"/>
        </w:rPr>
      </w:pPr>
    </w:p>
    <w:p w14:paraId="36406798" w14:textId="35D9D3CC" w:rsidR="00111C7A" w:rsidRPr="00561AC8" w:rsidRDefault="00111C7A" w:rsidP="00111C7A">
      <w:pPr>
        <w:rPr>
          <w:rFonts w:ascii="Arial" w:hAnsi="Arial" w:cs="Arial"/>
        </w:rPr>
      </w:pPr>
    </w:p>
    <w:p w14:paraId="5FD309BC" w14:textId="77777777" w:rsidR="00111C7A" w:rsidRPr="00561AC8" w:rsidRDefault="00111C7A" w:rsidP="00111C7A">
      <w:pPr>
        <w:rPr>
          <w:rFonts w:ascii="Arial" w:hAnsi="Arial" w:cs="Arial"/>
          <w:b/>
          <w:bCs/>
        </w:rPr>
      </w:pPr>
      <w:r w:rsidRPr="00561AC8">
        <w:rPr>
          <w:rFonts w:ascii="Arial" w:hAnsi="Arial" w:cs="Arial"/>
          <w:b/>
          <w:bCs/>
        </w:rPr>
        <w:t>3. Who Can Complain</w:t>
      </w:r>
    </w:p>
    <w:p w14:paraId="3E295121" w14:textId="77777777" w:rsidR="00111C7A" w:rsidRPr="00561AC8" w:rsidRDefault="00111C7A" w:rsidP="00111C7A">
      <w:pPr>
        <w:rPr>
          <w:rFonts w:ascii="Arial" w:hAnsi="Arial" w:cs="Arial"/>
        </w:rPr>
      </w:pPr>
    </w:p>
    <w:p w14:paraId="521A450A" w14:textId="075886A2" w:rsidR="00111C7A" w:rsidRPr="00561AC8" w:rsidRDefault="00111C7A" w:rsidP="00111C7A">
      <w:pPr>
        <w:numPr>
          <w:ilvl w:val="0"/>
          <w:numId w:val="3"/>
        </w:numPr>
        <w:rPr>
          <w:rFonts w:ascii="Arial" w:hAnsi="Arial" w:cs="Arial"/>
        </w:rPr>
      </w:pPr>
      <w:r w:rsidRPr="00561AC8">
        <w:rPr>
          <w:rFonts w:ascii="Arial" w:hAnsi="Arial" w:cs="Arial"/>
          <w:b/>
          <w:bCs/>
        </w:rPr>
        <w:t>Applicants:</w:t>
      </w:r>
      <w:r w:rsidRPr="00561AC8">
        <w:rPr>
          <w:rFonts w:ascii="Arial" w:hAnsi="Arial" w:cs="Arial"/>
        </w:rPr>
        <w:t xml:space="preserve"> Coordinating Investigators (CIs), co-investigators, or authorised representatives dissatisfied with </w:t>
      </w:r>
      <w:r w:rsidR="00561AC8">
        <w:rPr>
          <w:rFonts w:ascii="Arial" w:hAnsi="Arial" w:cs="Arial"/>
        </w:rPr>
        <w:t>The Collective</w:t>
      </w:r>
      <w:r w:rsidRPr="00561AC8">
        <w:rPr>
          <w:rFonts w:ascii="Arial" w:hAnsi="Arial" w:cs="Arial"/>
        </w:rPr>
        <w:t xml:space="preserve"> processes or decisions (e.g., approvals, declines, conditions in Sections 7.2–7.9).</w:t>
      </w:r>
    </w:p>
    <w:p w14:paraId="54D7799B" w14:textId="77777777" w:rsidR="00111C7A" w:rsidRPr="00561AC8" w:rsidRDefault="00111C7A" w:rsidP="00111C7A">
      <w:pPr>
        <w:rPr>
          <w:rFonts w:ascii="Arial" w:hAnsi="Arial" w:cs="Arial"/>
        </w:rPr>
      </w:pPr>
    </w:p>
    <w:p w14:paraId="69611B81" w14:textId="12CBF40D" w:rsidR="00111C7A" w:rsidRPr="00561AC8" w:rsidRDefault="00111C7A" w:rsidP="00111C7A">
      <w:pPr>
        <w:numPr>
          <w:ilvl w:val="0"/>
          <w:numId w:val="3"/>
        </w:numPr>
        <w:rPr>
          <w:rFonts w:ascii="Arial" w:hAnsi="Arial" w:cs="Arial"/>
        </w:rPr>
      </w:pPr>
      <w:r w:rsidRPr="00561AC8">
        <w:rPr>
          <w:rFonts w:ascii="Arial" w:hAnsi="Arial" w:cs="Arial"/>
          <w:b/>
          <w:bCs/>
        </w:rPr>
        <w:t>Participants:</w:t>
      </w:r>
      <w:r w:rsidRPr="00561AC8">
        <w:rPr>
          <w:rFonts w:ascii="Arial" w:hAnsi="Arial" w:cs="Arial"/>
        </w:rPr>
        <w:t xml:space="preserve"> Individuals actively participating in the committees approved studies, or their representatives (e.g., whānau, caregivers, welfare guardians under </w:t>
      </w:r>
      <w:r w:rsidRPr="00561AC8">
        <w:rPr>
          <w:rFonts w:ascii="Arial" w:hAnsi="Arial" w:cs="Arial"/>
          <w:i/>
          <w:iCs/>
        </w:rPr>
        <w:t>Protection of Personal and Property Rights Act 1988</w:t>
      </w:r>
      <w:r w:rsidRPr="00561AC8">
        <w:rPr>
          <w:rFonts w:ascii="Arial" w:hAnsi="Arial" w:cs="Arial"/>
        </w:rPr>
        <w:t>), who identify ethical breaches. Third parties (e.g., community advocates) may submit information, but formal complaints must come from participants or representatives.</w:t>
      </w:r>
    </w:p>
    <w:p w14:paraId="4D6908CB" w14:textId="77777777" w:rsidR="00111C7A" w:rsidRPr="00561AC8" w:rsidRDefault="00111C7A" w:rsidP="00111C7A">
      <w:pPr>
        <w:rPr>
          <w:rFonts w:ascii="Arial" w:hAnsi="Arial" w:cs="Arial"/>
        </w:rPr>
      </w:pPr>
    </w:p>
    <w:p w14:paraId="518320EC" w14:textId="77777777" w:rsidR="00111C7A" w:rsidRPr="00561AC8" w:rsidRDefault="00A666E9" w:rsidP="00111C7A">
      <w:pPr>
        <w:rPr>
          <w:rFonts w:ascii="Arial" w:hAnsi="Arial" w:cs="Arial"/>
        </w:rPr>
      </w:pPr>
      <w:r w:rsidRPr="00A666E9">
        <w:rPr>
          <w:rFonts w:ascii="Arial" w:hAnsi="Arial" w:cs="Arial"/>
          <w:noProof/>
        </w:rPr>
        <w:pict w14:anchorId="1F344C75">
          <v:rect id="_x0000_i1025" alt="" style="width:451.3pt;height:.05pt;mso-width-percent:0;mso-height-percent:0;mso-width-percent:0;mso-height-percent:0" o:hralign="center" o:hrstd="t" o:hr="t" fillcolor="#a0a0a0" stroked="f"/>
        </w:pict>
      </w:r>
    </w:p>
    <w:p w14:paraId="2E92DB06" w14:textId="77777777" w:rsidR="00111C7A" w:rsidRPr="00561AC8" w:rsidRDefault="00111C7A" w:rsidP="00111C7A">
      <w:pPr>
        <w:rPr>
          <w:rFonts w:ascii="Arial" w:hAnsi="Arial" w:cs="Arial"/>
          <w:b/>
          <w:bCs/>
        </w:rPr>
      </w:pPr>
      <w:r w:rsidRPr="00561AC8">
        <w:rPr>
          <w:rFonts w:ascii="Arial" w:hAnsi="Arial" w:cs="Arial"/>
          <w:b/>
          <w:bCs/>
        </w:rPr>
        <w:t>4. Complaint Types and Processes</w:t>
      </w:r>
    </w:p>
    <w:p w14:paraId="52E92E20" w14:textId="77777777" w:rsidR="00111C7A" w:rsidRPr="00561AC8" w:rsidRDefault="00111C7A" w:rsidP="00111C7A">
      <w:pPr>
        <w:rPr>
          <w:rFonts w:ascii="Arial" w:hAnsi="Arial" w:cs="Arial"/>
        </w:rPr>
      </w:pPr>
    </w:p>
    <w:p w14:paraId="2155B2CD" w14:textId="6ACA5BD2" w:rsidR="00111C7A" w:rsidRPr="00561AC8" w:rsidRDefault="00111C7A" w:rsidP="00111C7A">
      <w:pPr>
        <w:rPr>
          <w:rFonts w:ascii="Arial" w:hAnsi="Arial" w:cs="Arial"/>
          <w:b/>
          <w:bCs/>
        </w:rPr>
      </w:pPr>
      <w:r w:rsidRPr="00561AC8">
        <w:rPr>
          <w:rFonts w:ascii="Arial" w:hAnsi="Arial" w:cs="Arial"/>
          <w:b/>
          <w:bCs/>
        </w:rPr>
        <w:t>4.1 Complaints About the Review Process (Applicants)</w:t>
      </w:r>
    </w:p>
    <w:p w14:paraId="11765882" w14:textId="77777777" w:rsidR="00561AC8" w:rsidRDefault="00561AC8" w:rsidP="00561AC8">
      <w:pPr>
        <w:rPr>
          <w:rFonts w:ascii="Arial" w:hAnsi="Arial" w:cs="Arial"/>
          <w:b/>
          <w:bCs/>
        </w:rPr>
      </w:pPr>
    </w:p>
    <w:p w14:paraId="6FB925AE" w14:textId="4F65DA59" w:rsidR="00111C7A" w:rsidRPr="00561AC8" w:rsidRDefault="00111C7A" w:rsidP="00561AC8">
      <w:pPr>
        <w:rPr>
          <w:rFonts w:ascii="Arial" w:hAnsi="Arial" w:cs="Arial"/>
        </w:rPr>
      </w:pPr>
      <w:r w:rsidRPr="00561AC8">
        <w:rPr>
          <w:rFonts w:ascii="Arial" w:hAnsi="Arial" w:cs="Arial"/>
          <w:b/>
          <w:bCs/>
        </w:rPr>
        <w:t>What Can Be Complained About:</w:t>
      </w:r>
      <w:r w:rsidRPr="00561AC8">
        <w:rPr>
          <w:rFonts w:ascii="Arial" w:hAnsi="Arial" w:cs="Arial"/>
        </w:rPr>
        <w:t xml:space="preserve"> </w:t>
      </w:r>
    </w:p>
    <w:p w14:paraId="7EEC65B4" w14:textId="77777777" w:rsidR="00111C7A" w:rsidRPr="00561AC8" w:rsidRDefault="00111C7A" w:rsidP="00111C7A">
      <w:pPr>
        <w:ind w:left="720"/>
        <w:rPr>
          <w:rFonts w:ascii="Arial" w:hAnsi="Arial" w:cs="Arial"/>
        </w:rPr>
      </w:pPr>
    </w:p>
    <w:p w14:paraId="2CE781CB" w14:textId="0EC148B0" w:rsidR="00111C7A" w:rsidRPr="00561AC8" w:rsidRDefault="00111C7A" w:rsidP="00561AC8">
      <w:pPr>
        <w:numPr>
          <w:ilvl w:val="1"/>
          <w:numId w:val="4"/>
        </w:numPr>
        <w:tabs>
          <w:tab w:val="clear" w:pos="1440"/>
          <w:tab w:val="num" w:pos="1080"/>
        </w:tabs>
        <w:ind w:left="1080"/>
        <w:rPr>
          <w:rFonts w:ascii="Arial" w:hAnsi="Arial" w:cs="Arial"/>
        </w:rPr>
      </w:pPr>
      <w:r w:rsidRPr="00561AC8">
        <w:rPr>
          <w:rFonts w:ascii="Arial" w:hAnsi="Arial" w:cs="Arial"/>
        </w:rPr>
        <w:t xml:space="preserve">Procedural non-compliance with </w:t>
      </w:r>
      <w:r w:rsidR="00561AC8">
        <w:rPr>
          <w:rFonts w:ascii="Arial" w:hAnsi="Arial" w:cs="Arial"/>
        </w:rPr>
        <w:t>The Collective</w:t>
      </w:r>
      <w:r w:rsidRPr="00561AC8">
        <w:rPr>
          <w:rFonts w:ascii="Arial" w:hAnsi="Arial" w:cs="Arial"/>
        </w:rPr>
        <w:t xml:space="preserve"> </w:t>
      </w:r>
      <w:proofErr w:type="spellStart"/>
      <w:r w:rsidRPr="00561AC8">
        <w:rPr>
          <w:rFonts w:ascii="Arial" w:hAnsi="Arial" w:cs="Arial"/>
        </w:rPr>
        <w:t>ToR</w:t>
      </w:r>
      <w:proofErr w:type="spellEnd"/>
      <w:r w:rsidRPr="00561AC8">
        <w:rPr>
          <w:rFonts w:ascii="Arial" w:hAnsi="Arial" w:cs="Arial"/>
        </w:rPr>
        <w:t xml:space="preserve"> or SOPs </w:t>
      </w:r>
    </w:p>
    <w:p w14:paraId="486B0CB5" w14:textId="77777777" w:rsidR="00111C7A" w:rsidRPr="00561AC8" w:rsidRDefault="00111C7A" w:rsidP="00561AC8">
      <w:pPr>
        <w:rPr>
          <w:rFonts w:ascii="Arial" w:hAnsi="Arial" w:cs="Arial"/>
        </w:rPr>
      </w:pPr>
    </w:p>
    <w:p w14:paraId="4DD34BED" w14:textId="280E489A" w:rsidR="00111C7A" w:rsidRPr="00561AC8" w:rsidRDefault="00111C7A" w:rsidP="00561AC8">
      <w:pPr>
        <w:numPr>
          <w:ilvl w:val="1"/>
          <w:numId w:val="4"/>
        </w:numPr>
        <w:tabs>
          <w:tab w:val="clear" w:pos="1440"/>
          <w:tab w:val="num" w:pos="1080"/>
        </w:tabs>
        <w:ind w:left="1080"/>
        <w:rPr>
          <w:rFonts w:ascii="Arial" w:hAnsi="Arial" w:cs="Arial"/>
        </w:rPr>
      </w:pPr>
      <w:r w:rsidRPr="00561AC8">
        <w:rPr>
          <w:rFonts w:ascii="Arial" w:hAnsi="Arial" w:cs="Arial"/>
        </w:rPr>
        <w:t xml:space="preserve">Unfairness, lack of transparency, or impartiality in decisions </w:t>
      </w:r>
    </w:p>
    <w:p w14:paraId="3E14AA93" w14:textId="77777777" w:rsidR="00111C7A" w:rsidRPr="00561AC8" w:rsidRDefault="00111C7A" w:rsidP="00561AC8">
      <w:pPr>
        <w:rPr>
          <w:rFonts w:ascii="Arial" w:hAnsi="Arial" w:cs="Arial"/>
        </w:rPr>
      </w:pPr>
    </w:p>
    <w:p w14:paraId="79003D69" w14:textId="47040C6B" w:rsidR="00111C7A" w:rsidRPr="00561AC8" w:rsidRDefault="00111C7A" w:rsidP="00561AC8">
      <w:pPr>
        <w:numPr>
          <w:ilvl w:val="1"/>
          <w:numId w:val="4"/>
        </w:numPr>
        <w:tabs>
          <w:tab w:val="clear" w:pos="1440"/>
          <w:tab w:val="num" w:pos="1080"/>
        </w:tabs>
        <w:ind w:left="1080"/>
        <w:rPr>
          <w:rFonts w:ascii="Arial" w:hAnsi="Arial" w:cs="Arial"/>
        </w:rPr>
      </w:pPr>
      <w:r w:rsidRPr="00561AC8">
        <w:rPr>
          <w:rFonts w:ascii="Arial" w:hAnsi="Arial" w:cs="Arial"/>
        </w:rPr>
        <w:t xml:space="preserve">Inadequate response to queries or requests for clarification during reviews </w:t>
      </w:r>
    </w:p>
    <w:p w14:paraId="1940D132" w14:textId="77777777" w:rsidR="00111C7A" w:rsidRPr="00561AC8" w:rsidRDefault="00111C7A" w:rsidP="00111C7A">
      <w:pPr>
        <w:rPr>
          <w:rFonts w:ascii="Arial" w:hAnsi="Arial" w:cs="Arial"/>
        </w:rPr>
      </w:pPr>
    </w:p>
    <w:p w14:paraId="66A61BCA" w14:textId="77777777" w:rsidR="00111C7A" w:rsidRPr="00561AC8" w:rsidRDefault="00111C7A" w:rsidP="00111C7A">
      <w:pPr>
        <w:rPr>
          <w:rFonts w:ascii="Arial" w:hAnsi="Arial" w:cs="Arial"/>
        </w:rPr>
      </w:pPr>
      <w:r w:rsidRPr="00561AC8">
        <w:rPr>
          <w:rFonts w:ascii="Arial" w:hAnsi="Arial" w:cs="Arial"/>
          <w:b/>
          <w:bCs/>
        </w:rPr>
        <w:t>Process:</w:t>
      </w:r>
      <w:r w:rsidRPr="00561AC8">
        <w:rPr>
          <w:rFonts w:ascii="Arial" w:hAnsi="Arial" w:cs="Arial"/>
        </w:rPr>
        <w:t xml:space="preserve"> </w:t>
      </w:r>
    </w:p>
    <w:p w14:paraId="1821EB90" w14:textId="77777777" w:rsidR="00111C7A" w:rsidRPr="00561AC8" w:rsidRDefault="00111C7A" w:rsidP="00111C7A">
      <w:pPr>
        <w:ind w:left="720"/>
        <w:rPr>
          <w:rFonts w:ascii="Arial" w:hAnsi="Arial" w:cs="Arial"/>
        </w:rPr>
      </w:pPr>
    </w:p>
    <w:p w14:paraId="0D85102B" w14:textId="45D50212" w:rsidR="00111C7A" w:rsidRPr="00561AC8" w:rsidRDefault="00111C7A" w:rsidP="00111C7A">
      <w:pPr>
        <w:pStyle w:val="ListParagraph"/>
        <w:numPr>
          <w:ilvl w:val="0"/>
          <w:numId w:val="12"/>
        </w:numPr>
        <w:rPr>
          <w:rFonts w:ascii="Arial" w:hAnsi="Arial" w:cs="Arial"/>
        </w:rPr>
      </w:pPr>
      <w:r w:rsidRPr="00561AC8">
        <w:rPr>
          <w:rFonts w:ascii="Arial" w:hAnsi="Arial" w:cs="Arial"/>
          <w:b/>
          <w:bCs/>
        </w:rPr>
        <w:t>Lodging a Complaint:</w:t>
      </w:r>
      <w:r w:rsidRPr="00561AC8">
        <w:rPr>
          <w:rFonts w:ascii="Arial" w:hAnsi="Arial" w:cs="Arial"/>
        </w:rPr>
        <w:t xml:space="preserve"> Submit in writing (email or hard copy) to </w:t>
      </w:r>
      <w:r w:rsidR="00561AC8">
        <w:rPr>
          <w:rFonts w:ascii="Arial" w:hAnsi="Arial" w:cs="Arial"/>
        </w:rPr>
        <w:t xml:space="preserve">The Collective </w:t>
      </w:r>
      <w:r w:rsidRPr="00561AC8">
        <w:rPr>
          <w:rFonts w:ascii="Arial" w:hAnsi="Arial" w:cs="Arial"/>
        </w:rPr>
        <w:t>Secretariat within 10 working days of the decision or issue, detailing:</w:t>
      </w:r>
    </w:p>
    <w:p w14:paraId="253EBEE2" w14:textId="77777777" w:rsidR="00111C7A" w:rsidRPr="00561AC8" w:rsidRDefault="00111C7A" w:rsidP="00111C7A">
      <w:pPr>
        <w:pStyle w:val="ListParagraph"/>
        <w:rPr>
          <w:rFonts w:ascii="Arial" w:hAnsi="Arial" w:cs="Arial"/>
        </w:rPr>
      </w:pPr>
    </w:p>
    <w:p w14:paraId="44C9F7CB" w14:textId="77777777" w:rsidR="00111C7A" w:rsidRPr="00561AC8" w:rsidRDefault="00111C7A" w:rsidP="00111C7A">
      <w:pPr>
        <w:numPr>
          <w:ilvl w:val="2"/>
          <w:numId w:val="5"/>
        </w:numPr>
        <w:tabs>
          <w:tab w:val="clear" w:pos="2160"/>
          <w:tab w:val="num" w:pos="1080"/>
        </w:tabs>
        <w:ind w:left="1080"/>
        <w:rPr>
          <w:rFonts w:ascii="Arial" w:hAnsi="Arial" w:cs="Arial"/>
        </w:rPr>
      </w:pPr>
      <w:r w:rsidRPr="00561AC8">
        <w:rPr>
          <w:rFonts w:ascii="Arial" w:hAnsi="Arial" w:cs="Arial"/>
        </w:rPr>
        <w:t xml:space="preserve">Nature of the complaint (e.g., paragraph of </w:t>
      </w:r>
      <w:proofErr w:type="spellStart"/>
      <w:r w:rsidRPr="00561AC8">
        <w:rPr>
          <w:rFonts w:ascii="Arial" w:hAnsi="Arial" w:cs="Arial"/>
        </w:rPr>
        <w:t>ToR</w:t>
      </w:r>
      <w:proofErr w:type="spellEnd"/>
      <w:r w:rsidRPr="00561AC8">
        <w:rPr>
          <w:rFonts w:ascii="Arial" w:hAnsi="Arial" w:cs="Arial"/>
        </w:rPr>
        <w:t>/SOPs not followed).</w:t>
      </w:r>
    </w:p>
    <w:p w14:paraId="13340D1A" w14:textId="77777777" w:rsidR="00111C7A" w:rsidRPr="00561AC8" w:rsidRDefault="00111C7A" w:rsidP="00111C7A">
      <w:pPr>
        <w:ind w:left="-1080"/>
        <w:rPr>
          <w:rFonts w:ascii="Arial" w:hAnsi="Arial" w:cs="Arial"/>
        </w:rPr>
      </w:pPr>
    </w:p>
    <w:p w14:paraId="4EE75691" w14:textId="77777777" w:rsidR="00111C7A" w:rsidRPr="00561AC8" w:rsidRDefault="00111C7A" w:rsidP="00111C7A">
      <w:pPr>
        <w:numPr>
          <w:ilvl w:val="2"/>
          <w:numId w:val="5"/>
        </w:numPr>
        <w:tabs>
          <w:tab w:val="clear" w:pos="2160"/>
          <w:tab w:val="num" w:pos="1080"/>
        </w:tabs>
        <w:ind w:left="1080"/>
        <w:rPr>
          <w:rFonts w:ascii="Arial" w:hAnsi="Arial" w:cs="Arial"/>
        </w:rPr>
      </w:pPr>
      <w:r w:rsidRPr="00561AC8">
        <w:rPr>
          <w:rFonts w:ascii="Arial" w:hAnsi="Arial" w:cs="Arial"/>
        </w:rPr>
        <w:t>Reasons for dissatisfaction (e.g., timeline breach, fairness concerns).</w:t>
      </w:r>
    </w:p>
    <w:p w14:paraId="1BF0D464" w14:textId="77777777" w:rsidR="00111C7A" w:rsidRPr="00561AC8" w:rsidRDefault="00111C7A" w:rsidP="00111C7A">
      <w:pPr>
        <w:ind w:left="-1080"/>
        <w:rPr>
          <w:rFonts w:ascii="Arial" w:hAnsi="Arial" w:cs="Arial"/>
        </w:rPr>
      </w:pPr>
    </w:p>
    <w:p w14:paraId="0110C065" w14:textId="77777777" w:rsidR="00111C7A" w:rsidRPr="00561AC8" w:rsidRDefault="00111C7A" w:rsidP="00111C7A">
      <w:pPr>
        <w:numPr>
          <w:ilvl w:val="2"/>
          <w:numId w:val="5"/>
        </w:numPr>
        <w:tabs>
          <w:tab w:val="clear" w:pos="2160"/>
          <w:tab w:val="num" w:pos="1080"/>
        </w:tabs>
        <w:ind w:left="1080"/>
        <w:rPr>
          <w:rFonts w:ascii="Arial" w:hAnsi="Arial" w:cs="Arial"/>
        </w:rPr>
      </w:pPr>
      <w:r w:rsidRPr="00561AC8">
        <w:rPr>
          <w:rFonts w:ascii="Arial" w:hAnsi="Arial" w:cs="Arial"/>
        </w:rPr>
        <w:t>Desired resolution (e.g., reconsideration, clarification).</w:t>
      </w:r>
    </w:p>
    <w:p w14:paraId="7AB1A1C7" w14:textId="77777777" w:rsidR="00111C7A" w:rsidRPr="00561AC8" w:rsidRDefault="00111C7A" w:rsidP="00111C7A">
      <w:pPr>
        <w:ind w:left="-1080"/>
        <w:rPr>
          <w:rFonts w:ascii="Arial" w:hAnsi="Arial" w:cs="Arial"/>
        </w:rPr>
      </w:pPr>
    </w:p>
    <w:p w14:paraId="0B984D41" w14:textId="77777777" w:rsidR="00111C7A" w:rsidRPr="00561AC8" w:rsidRDefault="00111C7A" w:rsidP="00111C7A">
      <w:pPr>
        <w:numPr>
          <w:ilvl w:val="2"/>
          <w:numId w:val="5"/>
        </w:numPr>
        <w:tabs>
          <w:tab w:val="clear" w:pos="2160"/>
          <w:tab w:val="num" w:pos="1080"/>
        </w:tabs>
        <w:ind w:left="1080"/>
        <w:rPr>
          <w:rFonts w:ascii="Arial" w:hAnsi="Arial" w:cs="Arial"/>
        </w:rPr>
      </w:pPr>
      <w:r w:rsidRPr="00561AC8">
        <w:rPr>
          <w:rFonts w:ascii="Arial" w:hAnsi="Arial" w:cs="Arial"/>
        </w:rPr>
        <w:t>Contact details and, if applicable, study reference number.</w:t>
      </w:r>
    </w:p>
    <w:p w14:paraId="6CD85C26" w14:textId="77777777" w:rsidR="00111C7A" w:rsidRPr="00561AC8" w:rsidRDefault="00111C7A" w:rsidP="00111C7A">
      <w:pPr>
        <w:rPr>
          <w:rFonts w:ascii="Arial" w:hAnsi="Arial" w:cs="Arial"/>
        </w:rPr>
      </w:pPr>
    </w:p>
    <w:p w14:paraId="0D12E446" w14:textId="77777777" w:rsidR="00111C7A" w:rsidRPr="00561AC8" w:rsidRDefault="00111C7A" w:rsidP="00111C7A">
      <w:pPr>
        <w:rPr>
          <w:rFonts w:ascii="Arial" w:hAnsi="Arial" w:cs="Arial"/>
        </w:rPr>
      </w:pPr>
    </w:p>
    <w:p w14:paraId="3535B1D8" w14:textId="3683E7D4" w:rsidR="00111C7A" w:rsidRPr="00561AC8" w:rsidRDefault="00111C7A" w:rsidP="00111C7A">
      <w:pPr>
        <w:rPr>
          <w:rFonts w:ascii="Arial" w:hAnsi="Arial" w:cs="Arial"/>
        </w:rPr>
      </w:pPr>
      <w:r w:rsidRPr="00561AC8">
        <w:rPr>
          <w:rFonts w:ascii="Arial" w:hAnsi="Arial" w:cs="Arial"/>
          <w:b/>
          <w:bCs/>
        </w:rPr>
        <w:t>2) Initial Review:</w:t>
      </w:r>
      <w:r w:rsidRPr="00561AC8">
        <w:rPr>
          <w:rFonts w:ascii="Arial" w:hAnsi="Arial" w:cs="Arial"/>
        </w:rPr>
        <w:t xml:space="preserve"> The Secretariat acknowledges receipt within 2 working days, forwarding to the Chairperson within 5 working days. The Chairperson assesses jurisdiction (per Section 2) and, if within scope, assigns a subcommittee of 2 members (1 lay, 1 non-lay, per Section 5.1) within 5 working days.</w:t>
      </w:r>
    </w:p>
    <w:p w14:paraId="6CD002D3" w14:textId="77777777" w:rsidR="00111C7A" w:rsidRPr="00561AC8" w:rsidRDefault="00111C7A" w:rsidP="00111C7A">
      <w:pPr>
        <w:rPr>
          <w:rFonts w:ascii="Arial" w:hAnsi="Arial" w:cs="Arial"/>
        </w:rPr>
      </w:pPr>
    </w:p>
    <w:p w14:paraId="280777C4" w14:textId="7DF1E81D" w:rsidR="00111C7A" w:rsidRPr="00561AC8" w:rsidRDefault="00111C7A" w:rsidP="00111C7A">
      <w:pPr>
        <w:rPr>
          <w:rFonts w:ascii="Arial" w:hAnsi="Arial" w:cs="Arial"/>
        </w:rPr>
      </w:pPr>
      <w:r w:rsidRPr="00561AC8">
        <w:rPr>
          <w:rFonts w:ascii="Arial" w:hAnsi="Arial" w:cs="Arial"/>
          <w:b/>
          <w:bCs/>
        </w:rPr>
        <w:lastRenderedPageBreak/>
        <w:t>3) Investigation:</w:t>
      </w:r>
      <w:r w:rsidRPr="00561AC8">
        <w:rPr>
          <w:rFonts w:ascii="Arial" w:hAnsi="Arial" w:cs="Arial"/>
        </w:rPr>
        <w:t xml:space="preserve"> The subcommittee reviews within 10 working days, ensuring natural justice (e.g., inviting applicant response, per HDEC SOPs Section 9). If cultural issues (e.g., Māori tikanga) arise, the subcommittee consults Māori/Pacific experts or community representatives, maintaining confidentiality (per Section 11).</w:t>
      </w:r>
    </w:p>
    <w:p w14:paraId="418A5698" w14:textId="77777777" w:rsidR="00111C7A" w:rsidRPr="00561AC8" w:rsidRDefault="00111C7A" w:rsidP="00111C7A">
      <w:pPr>
        <w:rPr>
          <w:rFonts w:ascii="Arial" w:hAnsi="Arial" w:cs="Arial"/>
        </w:rPr>
      </w:pPr>
    </w:p>
    <w:p w14:paraId="7328EE7D" w14:textId="55442A1B" w:rsidR="00111C7A" w:rsidRPr="00561AC8" w:rsidRDefault="00111C7A" w:rsidP="00111C7A">
      <w:pPr>
        <w:rPr>
          <w:rFonts w:ascii="Arial" w:hAnsi="Arial" w:cs="Arial"/>
        </w:rPr>
      </w:pPr>
      <w:r w:rsidRPr="00561AC8">
        <w:rPr>
          <w:rFonts w:ascii="Arial" w:hAnsi="Arial" w:cs="Arial"/>
          <w:b/>
          <w:bCs/>
        </w:rPr>
        <w:t>4)Decision:</w:t>
      </w:r>
      <w:r w:rsidRPr="00561AC8">
        <w:rPr>
          <w:rFonts w:ascii="Arial" w:hAnsi="Arial" w:cs="Arial"/>
        </w:rPr>
        <w:t xml:space="preserve"> The subcommittee recommends one of:</w:t>
      </w:r>
    </w:p>
    <w:p w14:paraId="0EBF521E" w14:textId="77777777" w:rsidR="00111C7A" w:rsidRPr="00561AC8" w:rsidRDefault="00111C7A" w:rsidP="00111C7A">
      <w:pPr>
        <w:rPr>
          <w:rFonts w:ascii="Arial" w:hAnsi="Arial" w:cs="Arial"/>
        </w:rPr>
      </w:pPr>
    </w:p>
    <w:p w14:paraId="0452397C" w14:textId="77777777" w:rsidR="00111C7A" w:rsidRPr="00561AC8" w:rsidRDefault="00111C7A" w:rsidP="00111C7A">
      <w:pPr>
        <w:numPr>
          <w:ilvl w:val="2"/>
          <w:numId w:val="5"/>
        </w:numPr>
        <w:tabs>
          <w:tab w:val="clear" w:pos="2160"/>
          <w:tab w:val="num" w:pos="1080"/>
        </w:tabs>
        <w:ind w:left="1080"/>
        <w:rPr>
          <w:rFonts w:ascii="Arial" w:hAnsi="Arial" w:cs="Arial"/>
        </w:rPr>
      </w:pPr>
      <w:r w:rsidRPr="00561AC8">
        <w:rPr>
          <w:rFonts w:ascii="Arial" w:hAnsi="Arial" w:cs="Arial"/>
        </w:rPr>
        <w:t>Reaffirm the original decision (with reasons).</w:t>
      </w:r>
    </w:p>
    <w:p w14:paraId="6173F820" w14:textId="77777777" w:rsidR="00111C7A" w:rsidRPr="00561AC8" w:rsidRDefault="00111C7A" w:rsidP="00111C7A">
      <w:pPr>
        <w:ind w:left="-1080"/>
        <w:rPr>
          <w:rFonts w:ascii="Arial" w:hAnsi="Arial" w:cs="Arial"/>
        </w:rPr>
      </w:pPr>
    </w:p>
    <w:p w14:paraId="3902D8AA" w14:textId="0901FC52" w:rsidR="00111C7A" w:rsidRPr="00561AC8" w:rsidRDefault="00111C7A" w:rsidP="00111C7A">
      <w:pPr>
        <w:numPr>
          <w:ilvl w:val="2"/>
          <w:numId w:val="5"/>
        </w:numPr>
        <w:tabs>
          <w:tab w:val="clear" w:pos="2160"/>
          <w:tab w:val="num" w:pos="1080"/>
        </w:tabs>
        <w:ind w:left="1080"/>
        <w:rPr>
          <w:rFonts w:ascii="Arial" w:hAnsi="Arial" w:cs="Arial"/>
        </w:rPr>
      </w:pPr>
      <w:r w:rsidRPr="00561AC8">
        <w:rPr>
          <w:rFonts w:ascii="Arial" w:hAnsi="Arial" w:cs="Arial"/>
        </w:rPr>
        <w:t>Reconsider the decision (e.g., approve/provisionally approve if declined, lift suspension/cancellation if applicable), reviewed online per Sections 7.2 within 14–15 days, with pre-screening (18–19 days total if changes needed).</w:t>
      </w:r>
    </w:p>
    <w:p w14:paraId="3D3EC0F5" w14:textId="77777777" w:rsidR="00111C7A" w:rsidRPr="00561AC8" w:rsidRDefault="00111C7A" w:rsidP="00111C7A">
      <w:pPr>
        <w:ind w:left="-1080"/>
        <w:rPr>
          <w:rFonts w:ascii="Arial" w:hAnsi="Arial" w:cs="Arial"/>
        </w:rPr>
      </w:pPr>
    </w:p>
    <w:p w14:paraId="2B7D509F" w14:textId="77777777" w:rsidR="00111C7A" w:rsidRPr="00561AC8" w:rsidRDefault="00111C7A" w:rsidP="00111C7A">
      <w:pPr>
        <w:numPr>
          <w:ilvl w:val="2"/>
          <w:numId w:val="5"/>
        </w:numPr>
        <w:tabs>
          <w:tab w:val="clear" w:pos="2160"/>
          <w:tab w:val="num" w:pos="1080"/>
        </w:tabs>
        <w:ind w:left="1080"/>
        <w:rPr>
          <w:rFonts w:ascii="Arial" w:hAnsi="Arial" w:cs="Arial"/>
        </w:rPr>
      </w:pPr>
      <w:r w:rsidRPr="00561AC8">
        <w:rPr>
          <w:rFonts w:ascii="Arial" w:hAnsi="Arial" w:cs="Arial"/>
        </w:rPr>
        <w:t>Suggest improvements or conditions (non-binding, per Section 4.2).</w:t>
      </w:r>
    </w:p>
    <w:p w14:paraId="018AA088" w14:textId="77777777" w:rsidR="00111C7A" w:rsidRPr="00561AC8" w:rsidRDefault="00111C7A" w:rsidP="00111C7A">
      <w:pPr>
        <w:ind w:left="-1080"/>
        <w:rPr>
          <w:rFonts w:ascii="Arial" w:hAnsi="Arial" w:cs="Arial"/>
        </w:rPr>
      </w:pPr>
    </w:p>
    <w:p w14:paraId="3E3D40CC" w14:textId="1249CF09" w:rsidR="00111C7A" w:rsidRPr="00561AC8" w:rsidRDefault="00111C7A" w:rsidP="00111C7A">
      <w:pPr>
        <w:numPr>
          <w:ilvl w:val="2"/>
          <w:numId w:val="5"/>
        </w:numPr>
        <w:tabs>
          <w:tab w:val="clear" w:pos="2160"/>
          <w:tab w:val="num" w:pos="1080"/>
        </w:tabs>
        <w:ind w:left="1080"/>
        <w:rPr>
          <w:rFonts w:ascii="Arial" w:hAnsi="Arial" w:cs="Arial"/>
        </w:rPr>
      </w:pPr>
      <w:r w:rsidRPr="00561AC8">
        <w:rPr>
          <w:rFonts w:ascii="Arial" w:hAnsi="Arial" w:cs="Arial"/>
        </w:rPr>
        <w:t xml:space="preserve">Refer to external bodies (e.g., HRC, Health and Disability Commissioner) if beyond </w:t>
      </w:r>
      <w:r w:rsidR="00561AC8">
        <w:rPr>
          <w:rFonts w:ascii="Arial" w:hAnsi="Arial" w:cs="Arial"/>
        </w:rPr>
        <w:t xml:space="preserve">The Collective’s </w:t>
      </w:r>
      <w:r w:rsidRPr="00561AC8">
        <w:rPr>
          <w:rFonts w:ascii="Arial" w:hAnsi="Arial" w:cs="Arial"/>
        </w:rPr>
        <w:t>scope.</w:t>
      </w:r>
    </w:p>
    <w:p w14:paraId="4047BC66" w14:textId="77777777" w:rsidR="00111C7A" w:rsidRPr="00561AC8" w:rsidRDefault="00111C7A" w:rsidP="00111C7A">
      <w:pPr>
        <w:rPr>
          <w:rFonts w:ascii="Arial" w:hAnsi="Arial" w:cs="Arial"/>
        </w:rPr>
      </w:pPr>
    </w:p>
    <w:p w14:paraId="1B137078" w14:textId="57AB17D3" w:rsidR="00111C7A" w:rsidRPr="00561AC8" w:rsidRDefault="00111C7A" w:rsidP="00111C7A">
      <w:pPr>
        <w:rPr>
          <w:rFonts w:ascii="Arial" w:hAnsi="Arial" w:cs="Arial"/>
        </w:rPr>
      </w:pPr>
      <w:r w:rsidRPr="00561AC8">
        <w:rPr>
          <w:rFonts w:ascii="Arial" w:hAnsi="Arial" w:cs="Arial"/>
          <w:b/>
          <w:bCs/>
        </w:rPr>
        <w:t>5)</w:t>
      </w:r>
      <w:r w:rsidR="00561AC8">
        <w:rPr>
          <w:rFonts w:ascii="Arial" w:hAnsi="Arial" w:cs="Arial"/>
          <w:b/>
          <w:bCs/>
        </w:rPr>
        <w:t xml:space="preserve"> </w:t>
      </w:r>
      <w:r w:rsidRPr="00561AC8">
        <w:rPr>
          <w:rFonts w:ascii="Arial" w:hAnsi="Arial" w:cs="Arial"/>
          <w:b/>
          <w:bCs/>
        </w:rPr>
        <w:t>Communication:</w:t>
      </w:r>
      <w:r w:rsidRPr="00561AC8">
        <w:rPr>
          <w:rFonts w:ascii="Arial" w:hAnsi="Arial" w:cs="Arial"/>
        </w:rPr>
        <w:t xml:space="preserve"> The Secretariat communicates the decision </w:t>
      </w:r>
      <w:r w:rsidR="00561AC8">
        <w:rPr>
          <w:rFonts w:ascii="Arial" w:hAnsi="Arial" w:cs="Arial"/>
        </w:rPr>
        <w:t xml:space="preserve">in </w:t>
      </w:r>
      <w:r w:rsidRPr="00561AC8">
        <w:rPr>
          <w:rFonts w:ascii="Arial" w:hAnsi="Arial" w:cs="Arial"/>
        </w:rPr>
        <w:t xml:space="preserve">plain language, with reasons based on </w:t>
      </w:r>
      <w:r w:rsidRPr="00561AC8">
        <w:rPr>
          <w:rFonts w:ascii="Arial" w:hAnsi="Arial" w:cs="Arial"/>
          <w:i/>
          <w:iCs/>
        </w:rPr>
        <w:t>National Ethical Standards</w:t>
      </w:r>
      <w:r w:rsidRPr="00561AC8">
        <w:rPr>
          <w:rFonts w:ascii="Arial" w:hAnsi="Arial" w:cs="Arial"/>
        </w:rPr>
        <w:t>. Records are stored per Section 11 of the Terms of Reference.</w:t>
      </w:r>
    </w:p>
    <w:p w14:paraId="6309B270" w14:textId="77777777" w:rsidR="00111C7A" w:rsidRPr="00561AC8" w:rsidRDefault="00111C7A" w:rsidP="00111C7A">
      <w:pPr>
        <w:rPr>
          <w:rFonts w:ascii="Arial" w:hAnsi="Arial" w:cs="Arial"/>
        </w:rPr>
      </w:pPr>
    </w:p>
    <w:p w14:paraId="32975F61" w14:textId="4E4217A2" w:rsidR="00111C7A" w:rsidRPr="00561AC8" w:rsidRDefault="00111C7A" w:rsidP="00111C7A">
      <w:pPr>
        <w:rPr>
          <w:rFonts w:ascii="Arial" w:hAnsi="Arial" w:cs="Arial"/>
        </w:rPr>
      </w:pPr>
      <w:r w:rsidRPr="00561AC8">
        <w:rPr>
          <w:rFonts w:ascii="Arial" w:hAnsi="Arial" w:cs="Arial"/>
          <w:b/>
          <w:bCs/>
        </w:rPr>
        <w:t>6) Escalation:</w:t>
      </w:r>
      <w:r w:rsidRPr="00561AC8">
        <w:rPr>
          <w:rFonts w:ascii="Arial" w:hAnsi="Arial" w:cs="Arial"/>
        </w:rPr>
        <w:t xml:space="preserve"> Applicants may appeal to the Health Research Council Ethics Committee (HRC EC) per HRC EC Terms of Reference within 20 working days, if unsatisfied (final and binding). Contact HRC EC for details.</w:t>
      </w:r>
    </w:p>
    <w:p w14:paraId="5F21A567" w14:textId="77777777" w:rsidR="00111C7A" w:rsidRPr="00561AC8" w:rsidRDefault="00111C7A" w:rsidP="00111C7A">
      <w:pPr>
        <w:rPr>
          <w:rFonts w:ascii="Arial" w:hAnsi="Arial" w:cs="Arial"/>
        </w:rPr>
      </w:pPr>
    </w:p>
    <w:p w14:paraId="6030F04C" w14:textId="77777777" w:rsidR="00561AC8" w:rsidRDefault="00111C7A" w:rsidP="00561AC8">
      <w:pPr>
        <w:rPr>
          <w:rFonts w:ascii="Arial" w:hAnsi="Arial" w:cs="Arial"/>
          <w:b/>
          <w:bCs/>
        </w:rPr>
      </w:pPr>
      <w:r w:rsidRPr="00561AC8">
        <w:rPr>
          <w:rFonts w:ascii="Arial" w:hAnsi="Arial" w:cs="Arial"/>
          <w:b/>
          <w:bCs/>
        </w:rPr>
        <w:t>4.2 Complaints About Ethical Breaches (Participants)</w:t>
      </w:r>
    </w:p>
    <w:p w14:paraId="4798E3BE" w14:textId="77777777" w:rsidR="00561AC8" w:rsidRDefault="00561AC8" w:rsidP="00561AC8">
      <w:pPr>
        <w:rPr>
          <w:rFonts w:ascii="Arial" w:hAnsi="Arial" w:cs="Arial"/>
          <w:b/>
          <w:bCs/>
        </w:rPr>
      </w:pPr>
    </w:p>
    <w:p w14:paraId="598A2093" w14:textId="507F8833" w:rsidR="00111C7A" w:rsidRPr="00561AC8" w:rsidRDefault="00111C7A" w:rsidP="00561AC8">
      <w:pPr>
        <w:rPr>
          <w:rFonts w:ascii="Arial" w:hAnsi="Arial" w:cs="Arial"/>
          <w:b/>
          <w:bCs/>
        </w:rPr>
      </w:pPr>
      <w:r w:rsidRPr="00561AC8">
        <w:rPr>
          <w:rFonts w:ascii="Arial" w:hAnsi="Arial" w:cs="Arial"/>
          <w:b/>
          <w:bCs/>
        </w:rPr>
        <w:t>What Can Be Complained About:</w:t>
      </w:r>
      <w:r w:rsidRPr="00561AC8">
        <w:rPr>
          <w:rFonts w:ascii="Arial" w:hAnsi="Arial" w:cs="Arial"/>
        </w:rPr>
        <w:t xml:space="preserve"> </w:t>
      </w:r>
    </w:p>
    <w:p w14:paraId="2B0BA533" w14:textId="77777777" w:rsidR="00111C7A" w:rsidRPr="00561AC8" w:rsidRDefault="00111C7A" w:rsidP="00111C7A">
      <w:pPr>
        <w:ind w:left="720"/>
        <w:rPr>
          <w:rFonts w:ascii="Arial" w:hAnsi="Arial" w:cs="Arial"/>
        </w:rPr>
      </w:pPr>
    </w:p>
    <w:p w14:paraId="23109433" w14:textId="77777777" w:rsidR="00111C7A" w:rsidRPr="00561AC8" w:rsidRDefault="00111C7A" w:rsidP="00561AC8">
      <w:pPr>
        <w:numPr>
          <w:ilvl w:val="1"/>
          <w:numId w:val="6"/>
        </w:numPr>
        <w:tabs>
          <w:tab w:val="clear" w:pos="1440"/>
          <w:tab w:val="num" w:pos="1080"/>
        </w:tabs>
        <w:ind w:left="1080"/>
        <w:rPr>
          <w:rFonts w:ascii="Arial" w:hAnsi="Arial" w:cs="Arial"/>
        </w:rPr>
      </w:pPr>
      <w:r w:rsidRPr="00561AC8">
        <w:rPr>
          <w:rFonts w:ascii="Arial" w:hAnsi="Arial" w:cs="Arial"/>
        </w:rPr>
        <w:t xml:space="preserve">Breaches of participant rights, safety, or well-being in approved studies (e.g., consent violations, harm, cultural disrespect, per </w:t>
      </w:r>
      <w:r w:rsidRPr="00561AC8">
        <w:rPr>
          <w:rFonts w:ascii="Arial" w:hAnsi="Arial" w:cs="Arial"/>
          <w:i/>
          <w:iCs/>
        </w:rPr>
        <w:t>National Ethical Standards</w:t>
      </w:r>
      <w:r w:rsidRPr="00561AC8">
        <w:rPr>
          <w:rFonts w:ascii="Arial" w:hAnsi="Arial" w:cs="Arial"/>
        </w:rPr>
        <w:t xml:space="preserve"> Chapters 3–6).</w:t>
      </w:r>
    </w:p>
    <w:p w14:paraId="4E12387A" w14:textId="77777777" w:rsidR="00111C7A" w:rsidRPr="00561AC8" w:rsidRDefault="00111C7A" w:rsidP="00561AC8">
      <w:pPr>
        <w:rPr>
          <w:rFonts w:ascii="Arial" w:hAnsi="Arial" w:cs="Arial"/>
        </w:rPr>
      </w:pPr>
    </w:p>
    <w:p w14:paraId="2C0D72E5" w14:textId="77777777" w:rsidR="00111C7A" w:rsidRPr="00561AC8" w:rsidRDefault="00111C7A" w:rsidP="00561AC8">
      <w:pPr>
        <w:numPr>
          <w:ilvl w:val="1"/>
          <w:numId w:val="6"/>
        </w:numPr>
        <w:tabs>
          <w:tab w:val="clear" w:pos="1440"/>
          <w:tab w:val="num" w:pos="1080"/>
        </w:tabs>
        <w:ind w:left="1080"/>
        <w:rPr>
          <w:rFonts w:ascii="Arial" w:hAnsi="Arial" w:cs="Arial"/>
        </w:rPr>
      </w:pPr>
      <w:r w:rsidRPr="00561AC8">
        <w:rPr>
          <w:rFonts w:ascii="Arial" w:hAnsi="Arial" w:cs="Arial"/>
        </w:rPr>
        <w:t>Failure to adhere to approved protocols, conditions, or cultural commitments (e.g., Māori tikanga, Pacific models of health).</w:t>
      </w:r>
    </w:p>
    <w:p w14:paraId="78CCEBBF" w14:textId="77777777" w:rsidR="00B77142" w:rsidRPr="00561AC8" w:rsidRDefault="00B77142" w:rsidP="00561AC8">
      <w:pPr>
        <w:pStyle w:val="ListParagraph"/>
        <w:ind w:left="360"/>
        <w:rPr>
          <w:rFonts w:ascii="Arial" w:hAnsi="Arial" w:cs="Arial"/>
        </w:rPr>
      </w:pPr>
    </w:p>
    <w:p w14:paraId="136A8715" w14:textId="6FB30A14" w:rsidR="00B77142" w:rsidRPr="00561AC8" w:rsidRDefault="00B77142" w:rsidP="00561AC8">
      <w:pPr>
        <w:numPr>
          <w:ilvl w:val="1"/>
          <w:numId w:val="6"/>
        </w:numPr>
        <w:tabs>
          <w:tab w:val="clear" w:pos="1440"/>
          <w:tab w:val="num" w:pos="1080"/>
        </w:tabs>
        <w:ind w:left="1080"/>
        <w:rPr>
          <w:rFonts w:ascii="Arial" w:hAnsi="Arial" w:cs="Arial"/>
        </w:rPr>
      </w:pPr>
      <w:r w:rsidRPr="00561AC8">
        <w:rPr>
          <w:rFonts w:ascii="Arial" w:hAnsi="Arial" w:cs="Arial"/>
        </w:rPr>
        <w:t>Actions tantamount to ‘research misconduct’ as described in the HRC Ethics Guidelines (2021). Please refer to that guideline for additional information.</w:t>
      </w:r>
    </w:p>
    <w:p w14:paraId="08829CAD" w14:textId="77777777" w:rsidR="00111C7A" w:rsidRPr="00561AC8" w:rsidRDefault="00111C7A" w:rsidP="00111C7A">
      <w:pPr>
        <w:rPr>
          <w:rFonts w:ascii="Arial" w:hAnsi="Arial" w:cs="Arial"/>
        </w:rPr>
      </w:pPr>
    </w:p>
    <w:p w14:paraId="15C142BC" w14:textId="77777777" w:rsidR="00111C7A" w:rsidRPr="00561AC8" w:rsidRDefault="00111C7A" w:rsidP="00111C7A">
      <w:pPr>
        <w:rPr>
          <w:rFonts w:ascii="Arial" w:hAnsi="Arial" w:cs="Arial"/>
        </w:rPr>
      </w:pPr>
      <w:r w:rsidRPr="00561AC8">
        <w:rPr>
          <w:rFonts w:ascii="Arial" w:hAnsi="Arial" w:cs="Arial"/>
          <w:b/>
          <w:bCs/>
        </w:rPr>
        <w:t>Process:</w:t>
      </w:r>
      <w:r w:rsidRPr="00561AC8">
        <w:rPr>
          <w:rFonts w:ascii="Arial" w:hAnsi="Arial" w:cs="Arial"/>
        </w:rPr>
        <w:t xml:space="preserve"> </w:t>
      </w:r>
    </w:p>
    <w:p w14:paraId="7ABACBE3" w14:textId="77777777" w:rsidR="00111C7A" w:rsidRPr="00561AC8" w:rsidRDefault="00111C7A" w:rsidP="00111C7A">
      <w:pPr>
        <w:rPr>
          <w:rFonts w:ascii="Arial" w:hAnsi="Arial" w:cs="Arial"/>
          <w:b/>
          <w:bCs/>
        </w:rPr>
      </w:pPr>
    </w:p>
    <w:p w14:paraId="3229EE61" w14:textId="4AC953E4" w:rsidR="00111C7A" w:rsidRPr="00561AC8" w:rsidRDefault="00111C7A" w:rsidP="00111C7A">
      <w:pPr>
        <w:rPr>
          <w:rFonts w:ascii="Arial" w:hAnsi="Arial" w:cs="Arial"/>
        </w:rPr>
      </w:pPr>
      <w:r w:rsidRPr="00561AC8">
        <w:rPr>
          <w:rFonts w:ascii="Arial" w:hAnsi="Arial" w:cs="Arial"/>
          <w:b/>
          <w:bCs/>
        </w:rPr>
        <w:t>1)</w:t>
      </w:r>
      <w:r w:rsidR="00B77142" w:rsidRPr="00561AC8">
        <w:rPr>
          <w:rFonts w:ascii="Arial" w:hAnsi="Arial" w:cs="Arial"/>
          <w:b/>
          <w:bCs/>
        </w:rPr>
        <w:t xml:space="preserve"> </w:t>
      </w:r>
      <w:r w:rsidRPr="00561AC8">
        <w:rPr>
          <w:rFonts w:ascii="Arial" w:hAnsi="Arial" w:cs="Arial"/>
          <w:b/>
          <w:bCs/>
        </w:rPr>
        <w:t>Lodging a Complaint:</w:t>
      </w:r>
      <w:r w:rsidRPr="00561AC8">
        <w:rPr>
          <w:rFonts w:ascii="Arial" w:hAnsi="Arial" w:cs="Arial"/>
        </w:rPr>
        <w:t xml:space="preserve"> Submit in writing (email or hard copy) to </w:t>
      </w:r>
      <w:r w:rsidR="00561AC8">
        <w:rPr>
          <w:rFonts w:ascii="Arial" w:hAnsi="Arial" w:cs="Arial"/>
        </w:rPr>
        <w:t xml:space="preserve">The Collective </w:t>
      </w:r>
      <w:r w:rsidRPr="00561AC8">
        <w:rPr>
          <w:rFonts w:ascii="Arial" w:hAnsi="Arial" w:cs="Arial"/>
        </w:rPr>
        <w:t>Secretariat within 10 working days of identifying the breach, detailing:</w:t>
      </w:r>
    </w:p>
    <w:p w14:paraId="3AC7E124" w14:textId="77777777" w:rsidR="00111C7A" w:rsidRPr="00561AC8" w:rsidRDefault="00111C7A" w:rsidP="00111C7A">
      <w:pPr>
        <w:rPr>
          <w:rFonts w:ascii="Arial" w:hAnsi="Arial" w:cs="Arial"/>
        </w:rPr>
      </w:pPr>
    </w:p>
    <w:p w14:paraId="0DAACF0A" w14:textId="77777777" w:rsidR="00111C7A" w:rsidRPr="00561AC8" w:rsidRDefault="00111C7A" w:rsidP="00111C7A">
      <w:pPr>
        <w:numPr>
          <w:ilvl w:val="2"/>
          <w:numId w:val="7"/>
        </w:numPr>
        <w:tabs>
          <w:tab w:val="clear" w:pos="2160"/>
          <w:tab w:val="num" w:pos="1080"/>
        </w:tabs>
        <w:ind w:left="1080"/>
        <w:rPr>
          <w:rFonts w:ascii="Arial" w:hAnsi="Arial" w:cs="Arial"/>
        </w:rPr>
      </w:pPr>
      <w:r w:rsidRPr="00561AC8">
        <w:rPr>
          <w:rFonts w:ascii="Arial" w:hAnsi="Arial" w:cs="Arial"/>
        </w:rPr>
        <w:t>Nature of the breach (e.g., consent issue, harm, cultural insensitivity).</w:t>
      </w:r>
    </w:p>
    <w:p w14:paraId="6CD57744" w14:textId="77777777" w:rsidR="00111C7A" w:rsidRPr="00561AC8" w:rsidRDefault="00111C7A" w:rsidP="00111C7A">
      <w:pPr>
        <w:ind w:left="-1080"/>
        <w:rPr>
          <w:rFonts w:ascii="Arial" w:hAnsi="Arial" w:cs="Arial"/>
        </w:rPr>
      </w:pPr>
    </w:p>
    <w:p w14:paraId="544D543A" w14:textId="77777777" w:rsidR="00111C7A" w:rsidRPr="00561AC8" w:rsidRDefault="00111C7A" w:rsidP="00111C7A">
      <w:pPr>
        <w:numPr>
          <w:ilvl w:val="2"/>
          <w:numId w:val="7"/>
        </w:numPr>
        <w:tabs>
          <w:tab w:val="clear" w:pos="2160"/>
          <w:tab w:val="num" w:pos="1080"/>
        </w:tabs>
        <w:ind w:left="1080"/>
        <w:rPr>
          <w:rFonts w:ascii="Arial" w:hAnsi="Arial" w:cs="Arial"/>
        </w:rPr>
      </w:pPr>
      <w:r w:rsidRPr="00561AC8">
        <w:rPr>
          <w:rFonts w:ascii="Arial" w:hAnsi="Arial" w:cs="Arial"/>
        </w:rPr>
        <w:t>Study details (e.g., reference number, participant involvement).</w:t>
      </w:r>
    </w:p>
    <w:p w14:paraId="35A51DE5" w14:textId="77777777" w:rsidR="00111C7A" w:rsidRPr="00561AC8" w:rsidRDefault="00111C7A" w:rsidP="00111C7A">
      <w:pPr>
        <w:ind w:left="-1080"/>
        <w:rPr>
          <w:rFonts w:ascii="Arial" w:hAnsi="Arial" w:cs="Arial"/>
        </w:rPr>
      </w:pPr>
    </w:p>
    <w:p w14:paraId="1A78B874" w14:textId="77777777" w:rsidR="00111C7A" w:rsidRPr="00561AC8" w:rsidRDefault="00111C7A" w:rsidP="00111C7A">
      <w:pPr>
        <w:numPr>
          <w:ilvl w:val="2"/>
          <w:numId w:val="7"/>
        </w:numPr>
        <w:tabs>
          <w:tab w:val="clear" w:pos="2160"/>
          <w:tab w:val="num" w:pos="1080"/>
        </w:tabs>
        <w:ind w:left="1080"/>
        <w:rPr>
          <w:rFonts w:ascii="Arial" w:hAnsi="Arial" w:cs="Arial"/>
        </w:rPr>
      </w:pPr>
      <w:r w:rsidRPr="00561AC8">
        <w:rPr>
          <w:rFonts w:ascii="Arial" w:hAnsi="Arial" w:cs="Arial"/>
        </w:rPr>
        <w:t>Desired resolution (e.g., investigation, corrective action).</w:t>
      </w:r>
    </w:p>
    <w:p w14:paraId="244900F3" w14:textId="77777777" w:rsidR="00111C7A" w:rsidRPr="00561AC8" w:rsidRDefault="00111C7A" w:rsidP="00111C7A">
      <w:pPr>
        <w:ind w:left="-1080"/>
        <w:rPr>
          <w:rFonts w:ascii="Arial" w:hAnsi="Arial" w:cs="Arial"/>
        </w:rPr>
      </w:pPr>
    </w:p>
    <w:p w14:paraId="1FB636B5" w14:textId="77777777" w:rsidR="00111C7A" w:rsidRPr="00561AC8" w:rsidRDefault="00111C7A" w:rsidP="00111C7A">
      <w:pPr>
        <w:numPr>
          <w:ilvl w:val="2"/>
          <w:numId w:val="7"/>
        </w:numPr>
        <w:tabs>
          <w:tab w:val="clear" w:pos="2160"/>
          <w:tab w:val="num" w:pos="1080"/>
        </w:tabs>
        <w:ind w:left="1080"/>
        <w:rPr>
          <w:rFonts w:ascii="Arial" w:hAnsi="Arial" w:cs="Arial"/>
        </w:rPr>
      </w:pPr>
      <w:r w:rsidRPr="00561AC8">
        <w:rPr>
          <w:rFonts w:ascii="Arial" w:hAnsi="Arial" w:cs="Arial"/>
        </w:rPr>
        <w:t>Contact details and, if applicable, representative status (e.g., whānau, caregiver).</w:t>
      </w:r>
    </w:p>
    <w:p w14:paraId="1851EBE5" w14:textId="77777777" w:rsidR="00111C7A" w:rsidRPr="00561AC8" w:rsidRDefault="00111C7A" w:rsidP="00111C7A">
      <w:pPr>
        <w:rPr>
          <w:rFonts w:ascii="Arial" w:hAnsi="Arial" w:cs="Arial"/>
        </w:rPr>
      </w:pPr>
    </w:p>
    <w:p w14:paraId="5E024486" w14:textId="564107E2" w:rsidR="00111C7A" w:rsidRPr="00561AC8" w:rsidRDefault="00111C7A" w:rsidP="00111C7A">
      <w:pPr>
        <w:numPr>
          <w:ilvl w:val="2"/>
          <w:numId w:val="7"/>
        </w:numPr>
        <w:tabs>
          <w:tab w:val="clear" w:pos="2160"/>
          <w:tab w:val="num" w:pos="1080"/>
        </w:tabs>
        <w:ind w:left="1080"/>
        <w:rPr>
          <w:rFonts w:ascii="Arial" w:hAnsi="Arial" w:cs="Arial"/>
        </w:rPr>
      </w:pPr>
      <w:r w:rsidRPr="00561AC8">
        <w:rPr>
          <w:rFonts w:ascii="Arial" w:hAnsi="Arial" w:cs="Arial"/>
        </w:rPr>
        <w:t>If unable to write, the Secretariat assists documentation within 2 working days.</w:t>
      </w:r>
    </w:p>
    <w:p w14:paraId="180BB388" w14:textId="77777777" w:rsidR="00111C7A" w:rsidRPr="00561AC8" w:rsidRDefault="00111C7A" w:rsidP="00111C7A">
      <w:pPr>
        <w:ind w:left="720"/>
        <w:rPr>
          <w:rFonts w:ascii="Arial" w:hAnsi="Arial" w:cs="Arial"/>
        </w:rPr>
      </w:pPr>
    </w:p>
    <w:p w14:paraId="13F31CA2" w14:textId="35565A5B" w:rsidR="00111C7A" w:rsidRPr="00561AC8" w:rsidRDefault="00111C7A" w:rsidP="00111C7A">
      <w:pPr>
        <w:rPr>
          <w:rFonts w:ascii="Arial" w:hAnsi="Arial" w:cs="Arial"/>
        </w:rPr>
      </w:pPr>
      <w:r w:rsidRPr="00561AC8">
        <w:rPr>
          <w:rFonts w:ascii="Arial" w:hAnsi="Arial" w:cs="Arial"/>
          <w:b/>
          <w:bCs/>
        </w:rPr>
        <w:t>2)Initial Review:</w:t>
      </w:r>
      <w:r w:rsidRPr="00561AC8">
        <w:rPr>
          <w:rFonts w:ascii="Arial" w:hAnsi="Arial" w:cs="Arial"/>
        </w:rPr>
        <w:t xml:space="preserve"> The Secretariat acknowledges receipt within 2 working days, forwarding to the Chairperson within 5 working days. The Chairperson assesses jurisdiction (per Section 2) and, if within scope, assigns a subcommittee of 2–4 members (at least 1 lay, 1 non-lay, per Section 5.1, discretion of Chairperson based on complaint complexity) within 5 working days.</w:t>
      </w:r>
    </w:p>
    <w:p w14:paraId="709E3D7A" w14:textId="77777777" w:rsidR="00111C7A" w:rsidRPr="00561AC8" w:rsidRDefault="00111C7A" w:rsidP="00111C7A">
      <w:pPr>
        <w:rPr>
          <w:rFonts w:ascii="Arial" w:hAnsi="Arial" w:cs="Arial"/>
        </w:rPr>
      </w:pPr>
    </w:p>
    <w:p w14:paraId="01A96E3B" w14:textId="25926BFA" w:rsidR="00111C7A" w:rsidRPr="00561AC8" w:rsidRDefault="00111C7A" w:rsidP="00111C7A">
      <w:pPr>
        <w:rPr>
          <w:rFonts w:ascii="Arial" w:hAnsi="Arial" w:cs="Arial"/>
        </w:rPr>
      </w:pPr>
      <w:r w:rsidRPr="00561AC8">
        <w:rPr>
          <w:rFonts w:ascii="Arial" w:hAnsi="Arial" w:cs="Arial"/>
          <w:b/>
          <w:bCs/>
        </w:rPr>
        <w:t>3)Investigation:</w:t>
      </w:r>
      <w:r w:rsidRPr="00561AC8">
        <w:rPr>
          <w:rFonts w:ascii="Arial" w:hAnsi="Arial" w:cs="Arial"/>
        </w:rPr>
        <w:t xml:space="preserve"> The subcommittee investigates within 15 working days, ensuring natural justice:</w:t>
      </w:r>
    </w:p>
    <w:p w14:paraId="5D686FEF" w14:textId="77777777" w:rsidR="00111C7A" w:rsidRPr="00561AC8" w:rsidRDefault="00111C7A" w:rsidP="00111C7A">
      <w:pPr>
        <w:rPr>
          <w:rFonts w:ascii="Arial" w:hAnsi="Arial" w:cs="Arial"/>
        </w:rPr>
      </w:pPr>
    </w:p>
    <w:p w14:paraId="5BF6791E" w14:textId="396FD8D1" w:rsidR="00111C7A" w:rsidRPr="00561AC8" w:rsidRDefault="00111C7A" w:rsidP="00111C7A">
      <w:pPr>
        <w:numPr>
          <w:ilvl w:val="2"/>
          <w:numId w:val="7"/>
        </w:numPr>
        <w:tabs>
          <w:tab w:val="clear" w:pos="2160"/>
          <w:tab w:val="num" w:pos="1080"/>
        </w:tabs>
        <w:ind w:left="1080"/>
        <w:rPr>
          <w:rFonts w:ascii="Arial" w:hAnsi="Arial" w:cs="Arial"/>
        </w:rPr>
      </w:pPr>
      <w:r w:rsidRPr="00561AC8">
        <w:rPr>
          <w:rFonts w:ascii="Arial" w:hAnsi="Arial" w:cs="Arial"/>
        </w:rPr>
        <w:t>Notifies complainant and respondent (e.g., CI, sponsor) immediately, providing complaint details and response opportunities (written or interview).</w:t>
      </w:r>
    </w:p>
    <w:p w14:paraId="199149C5" w14:textId="77777777" w:rsidR="00111C7A" w:rsidRPr="00561AC8" w:rsidRDefault="00111C7A" w:rsidP="00111C7A">
      <w:pPr>
        <w:ind w:left="-1080"/>
        <w:rPr>
          <w:rFonts w:ascii="Arial" w:hAnsi="Arial" w:cs="Arial"/>
        </w:rPr>
      </w:pPr>
    </w:p>
    <w:p w14:paraId="75C7CFA6" w14:textId="593446A7" w:rsidR="00111C7A" w:rsidRPr="00561AC8" w:rsidRDefault="00111C7A" w:rsidP="00111C7A">
      <w:pPr>
        <w:numPr>
          <w:ilvl w:val="2"/>
          <w:numId w:val="7"/>
        </w:numPr>
        <w:tabs>
          <w:tab w:val="clear" w:pos="2160"/>
          <w:tab w:val="num" w:pos="1080"/>
        </w:tabs>
        <w:ind w:left="1080"/>
        <w:rPr>
          <w:rFonts w:ascii="Arial" w:hAnsi="Arial" w:cs="Arial"/>
        </w:rPr>
      </w:pPr>
      <w:r w:rsidRPr="00561AC8">
        <w:rPr>
          <w:rFonts w:ascii="Arial" w:hAnsi="Arial" w:cs="Arial"/>
        </w:rPr>
        <w:t xml:space="preserve">Offers complainant/respondent meetings (online or in person, with support persons if needed) and additional information requests, prioritising cultural sensitivity (e.g., hui, </w:t>
      </w:r>
      <w:proofErr w:type="spellStart"/>
      <w:r w:rsidRPr="00561AC8">
        <w:rPr>
          <w:rFonts w:ascii="Arial" w:hAnsi="Arial" w:cs="Arial"/>
        </w:rPr>
        <w:t>fono</w:t>
      </w:r>
      <w:proofErr w:type="spellEnd"/>
      <w:r w:rsidRPr="00561AC8">
        <w:rPr>
          <w:rFonts w:ascii="Arial" w:hAnsi="Arial" w:cs="Arial"/>
        </w:rPr>
        <w:t xml:space="preserve"> for Māori/Pacific participants).</w:t>
      </w:r>
    </w:p>
    <w:p w14:paraId="0D75FF48" w14:textId="77777777" w:rsidR="00111C7A" w:rsidRPr="00561AC8" w:rsidRDefault="00111C7A" w:rsidP="00111C7A">
      <w:pPr>
        <w:ind w:left="-1080"/>
        <w:rPr>
          <w:rFonts w:ascii="Arial" w:hAnsi="Arial" w:cs="Arial"/>
        </w:rPr>
      </w:pPr>
    </w:p>
    <w:p w14:paraId="02CF16E5" w14:textId="77777777" w:rsidR="00111C7A" w:rsidRPr="00561AC8" w:rsidRDefault="00111C7A" w:rsidP="00111C7A">
      <w:pPr>
        <w:numPr>
          <w:ilvl w:val="2"/>
          <w:numId w:val="7"/>
        </w:numPr>
        <w:tabs>
          <w:tab w:val="clear" w:pos="2160"/>
          <w:tab w:val="num" w:pos="1080"/>
        </w:tabs>
        <w:ind w:left="1080"/>
        <w:rPr>
          <w:rFonts w:ascii="Arial" w:hAnsi="Arial" w:cs="Arial"/>
        </w:rPr>
      </w:pPr>
      <w:r w:rsidRPr="00561AC8">
        <w:rPr>
          <w:rFonts w:ascii="Arial" w:hAnsi="Arial" w:cs="Arial"/>
        </w:rPr>
        <w:t>Consults external experts (e.g., Māori/Pacific leaders, ethicists) if cultural or ethical complexity arises, maintaining confidentiality (per Section 11).</w:t>
      </w:r>
    </w:p>
    <w:p w14:paraId="5DAE0956" w14:textId="77777777" w:rsidR="00111C7A" w:rsidRPr="00561AC8" w:rsidRDefault="00111C7A" w:rsidP="00111C7A">
      <w:pPr>
        <w:ind w:left="-1080"/>
        <w:rPr>
          <w:rFonts w:ascii="Arial" w:hAnsi="Arial" w:cs="Arial"/>
        </w:rPr>
      </w:pPr>
    </w:p>
    <w:p w14:paraId="78A90048" w14:textId="77777777" w:rsidR="00111C7A" w:rsidRPr="00561AC8" w:rsidRDefault="00111C7A" w:rsidP="00111C7A">
      <w:pPr>
        <w:numPr>
          <w:ilvl w:val="2"/>
          <w:numId w:val="7"/>
        </w:numPr>
        <w:tabs>
          <w:tab w:val="clear" w:pos="2160"/>
          <w:tab w:val="num" w:pos="1080"/>
        </w:tabs>
        <w:ind w:left="1080"/>
        <w:rPr>
          <w:rFonts w:ascii="Arial" w:hAnsi="Arial" w:cs="Arial"/>
        </w:rPr>
      </w:pPr>
      <w:r w:rsidRPr="00561AC8">
        <w:rPr>
          <w:rFonts w:ascii="Arial" w:hAnsi="Arial" w:cs="Arial"/>
        </w:rPr>
        <w:t xml:space="preserve">Seeks further information from other parties/witnesses if relevant, balancing privacy (per </w:t>
      </w:r>
      <w:r w:rsidRPr="00561AC8">
        <w:rPr>
          <w:rFonts w:ascii="Arial" w:hAnsi="Arial" w:cs="Arial"/>
          <w:i/>
          <w:iCs/>
        </w:rPr>
        <w:t>Privacy Act 2020</w:t>
      </w:r>
      <w:r w:rsidRPr="00561AC8">
        <w:rPr>
          <w:rFonts w:ascii="Arial" w:hAnsi="Arial" w:cs="Arial"/>
        </w:rPr>
        <w:t>).</w:t>
      </w:r>
    </w:p>
    <w:p w14:paraId="067CCB69" w14:textId="77777777" w:rsidR="00111C7A" w:rsidRPr="00561AC8" w:rsidRDefault="00111C7A" w:rsidP="00111C7A">
      <w:pPr>
        <w:ind w:left="-1080"/>
        <w:rPr>
          <w:rFonts w:ascii="Arial" w:hAnsi="Arial" w:cs="Arial"/>
        </w:rPr>
      </w:pPr>
    </w:p>
    <w:p w14:paraId="7C943B5B" w14:textId="77777777" w:rsidR="00111C7A" w:rsidRPr="00561AC8" w:rsidRDefault="00111C7A" w:rsidP="00111C7A">
      <w:pPr>
        <w:rPr>
          <w:rFonts w:ascii="Arial" w:hAnsi="Arial" w:cs="Arial"/>
        </w:rPr>
      </w:pPr>
    </w:p>
    <w:p w14:paraId="5DB60572" w14:textId="760BFE2B" w:rsidR="00111C7A" w:rsidRPr="00561AC8" w:rsidRDefault="00111C7A" w:rsidP="00111C7A">
      <w:pPr>
        <w:rPr>
          <w:rFonts w:ascii="Arial" w:hAnsi="Arial" w:cs="Arial"/>
        </w:rPr>
      </w:pPr>
      <w:r w:rsidRPr="00561AC8">
        <w:rPr>
          <w:rFonts w:ascii="Arial" w:hAnsi="Arial" w:cs="Arial"/>
          <w:b/>
          <w:bCs/>
        </w:rPr>
        <w:t>4)Decision:</w:t>
      </w:r>
      <w:r w:rsidRPr="00561AC8">
        <w:rPr>
          <w:rFonts w:ascii="Arial" w:hAnsi="Arial" w:cs="Arial"/>
        </w:rPr>
        <w:t xml:space="preserve"> The subcommittee recommends one of:</w:t>
      </w:r>
    </w:p>
    <w:p w14:paraId="5CF64DCC" w14:textId="77777777" w:rsidR="00111C7A" w:rsidRPr="00561AC8" w:rsidRDefault="00111C7A" w:rsidP="00111C7A">
      <w:pPr>
        <w:rPr>
          <w:rFonts w:ascii="Arial" w:hAnsi="Arial" w:cs="Arial"/>
        </w:rPr>
      </w:pPr>
    </w:p>
    <w:p w14:paraId="2AFBDC21" w14:textId="77777777" w:rsidR="00111C7A" w:rsidRPr="00561AC8" w:rsidRDefault="00111C7A" w:rsidP="00111C7A">
      <w:pPr>
        <w:numPr>
          <w:ilvl w:val="2"/>
          <w:numId w:val="7"/>
        </w:numPr>
        <w:tabs>
          <w:tab w:val="clear" w:pos="2160"/>
          <w:tab w:val="num" w:pos="1080"/>
        </w:tabs>
        <w:ind w:left="1080"/>
        <w:rPr>
          <w:rFonts w:ascii="Arial" w:hAnsi="Arial" w:cs="Arial"/>
        </w:rPr>
      </w:pPr>
      <w:r w:rsidRPr="00561AC8">
        <w:rPr>
          <w:rFonts w:ascii="Arial" w:hAnsi="Arial" w:cs="Arial"/>
        </w:rPr>
        <w:t>No action (if no breach found, with reasons).</w:t>
      </w:r>
    </w:p>
    <w:p w14:paraId="1B389F2E" w14:textId="77777777" w:rsidR="00111C7A" w:rsidRPr="00561AC8" w:rsidRDefault="00111C7A" w:rsidP="00111C7A">
      <w:pPr>
        <w:ind w:left="-1080"/>
        <w:rPr>
          <w:rFonts w:ascii="Arial" w:hAnsi="Arial" w:cs="Arial"/>
        </w:rPr>
      </w:pPr>
    </w:p>
    <w:p w14:paraId="663F5C3C" w14:textId="77777777" w:rsidR="00111C7A" w:rsidRPr="00561AC8" w:rsidRDefault="00111C7A" w:rsidP="00111C7A">
      <w:pPr>
        <w:numPr>
          <w:ilvl w:val="2"/>
          <w:numId w:val="7"/>
        </w:numPr>
        <w:tabs>
          <w:tab w:val="clear" w:pos="2160"/>
          <w:tab w:val="num" w:pos="1080"/>
        </w:tabs>
        <w:ind w:left="1080"/>
        <w:rPr>
          <w:rFonts w:ascii="Arial" w:hAnsi="Arial" w:cs="Arial"/>
        </w:rPr>
      </w:pPr>
      <w:r w:rsidRPr="00561AC8">
        <w:rPr>
          <w:rFonts w:ascii="Arial" w:hAnsi="Arial" w:cs="Arial"/>
        </w:rPr>
        <w:t>Investigation findings and recommendations (e.g., protocol correction, participant support, cultural consultation), communicated to CI/sponsor for action within 10 working days.</w:t>
      </w:r>
    </w:p>
    <w:p w14:paraId="27C2504D" w14:textId="77777777" w:rsidR="00111C7A" w:rsidRPr="00561AC8" w:rsidRDefault="00111C7A" w:rsidP="00111C7A">
      <w:pPr>
        <w:ind w:left="-1080"/>
        <w:rPr>
          <w:rFonts w:ascii="Arial" w:hAnsi="Arial" w:cs="Arial"/>
        </w:rPr>
      </w:pPr>
    </w:p>
    <w:p w14:paraId="648F6007" w14:textId="77777777" w:rsidR="00111C7A" w:rsidRPr="00561AC8" w:rsidRDefault="00111C7A" w:rsidP="00111C7A">
      <w:pPr>
        <w:numPr>
          <w:ilvl w:val="2"/>
          <w:numId w:val="7"/>
        </w:numPr>
        <w:tabs>
          <w:tab w:val="clear" w:pos="2160"/>
          <w:tab w:val="num" w:pos="1080"/>
        </w:tabs>
        <w:ind w:left="1080"/>
        <w:rPr>
          <w:rFonts w:ascii="Arial" w:hAnsi="Arial" w:cs="Arial"/>
        </w:rPr>
      </w:pPr>
      <w:r w:rsidRPr="00561AC8">
        <w:rPr>
          <w:rFonts w:ascii="Arial" w:hAnsi="Arial" w:cs="Arial"/>
        </w:rPr>
        <w:t>Suspension/cancellation of approval (per Section 7.6) if serious concerns (e.g., participant safety, ethical conduct), reviewed fully within 18–19 days (pre-screening included).</w:t>
      </w:r>
    </w:p>
    <w:p w14:paraId="6B63E660" w14:textId="77777777" w:rsidR="00111C7A" w:rsidRPr="00561AC8" w:rsidRDefault="00111C7A" w:rsidP="00111C7A">
      <w:pPr>
        <w:ind w:left="-1080"/>
        <w:rPr>
          <w:rFonts w:ascii="Arial" w:hAnsi="Arial" w:cs="Arial"/>
        </w:rPr>
      </w:pPr>
    </w:p>
    <w:p w14:paraId="2D324935" w14:textId="13F0CC1F" w:rsidR="00111C7A" w:rsidRPr="00561AC8" w:rsidRDefault="00111C7A" w:rsidP="00111C7A">
      <w:pPr>
        <w:numPr>
          <w:ilvl w:val="2"/>
          <w:numId w:val="7"/>
        </w:numPr>
        <w:tabs>
          <w:tab w:val="clear" w:pos="2160"/>
          <w:tab w:val="num" w:pos="1080"/>
        </w:tabs>
        <w:ind w:left="1080"/>
        <w:rPr>
          <w:rFonts w:ascii="Arial" w:hAnsi="Arial" w:cs="Arial"/>
        </w:rPr>
      </w:pPr>
      <w:r w:rsidRPr="00561AC8">
        <w:rPr>
          <w:rFonts w:ascii="Arial" w:hAnsi="Arial" w:cs="Arial"/>
        </w:rPr>
        <w:lastRenderedPageBreak/>
        <w:t xml:space="preserve">Referral to external bodies (e.g., Health and Disability Commissioner, Privacy Commissioner) if beyond </w:t>
      </w:r>
      <w:r w:rsidR="00561AC8">
        <w:rPr>
          <w:rFonts w:ascii="Arial" w:hAnsi="Arial" w:cs="Arial"/>
        </w:rPr>
        <w:t>The Collectives</w:t>
      </w:r>
      <w:r w:rsidRPr="00561AC8">
        <w:rPr>
          <w:rFonts w:ascii="Arial" w:hAnsi="Arial" w:cs="Arial"/>
        </w:rPr>
        <w:t xml:space="preserve"> scope.</w:t>
      </w:r>
    </w:p>
    <w:p w14:paraId="7D2F520A" w14:textId="77777777" w:rsidR="00111C7A" w:rsidRPr="00561AC8" w:rsidRDefault="00111C7A" w:rsidP="00111C7A">
      <w:pPr>
        <w:rPr>
          <w:rFonts w:ascii="Arial" w:hAnsi="Arial" w:cs="Arial"/>
        </w:rPr>
      </w:pPr>
    </w:p>
    <w:p w14:paraId="1B6B3708" w14:textId="28A42261" w:rsidR="00111C7A" w:rsidRPr="00561AC8" w:rsidRDefault="00111C7A" w:rsidP="00111C7A">
      <w:pPr>
        <w:rPr>
          <w:rFonts w:ascii="Arial" w:hAnsi="Arial" w:cs="Arial"/>
        </w:rPr>
      </w:pPr>
      <w:r w:rsidRPr="00561AC8">
        <w:rPr>
          <w:rFonts w:ascii="Arial" w:hAnsi="Arial" w:cs="Arial"/>
          <w:b/>
          <w:bCs/>
        </w:rPr>
        <w:t>5)Communication:</w:t>
      </w:r>
      <w:r w:rsidRPr="00561AC8">
        <w:rPr>
          <w:rFonts w:ascii="Arial" w:hAnsi="Arial" w:cs="Arial"/>
        </w:rPr>
        <w:t xml:space="preserve"> The Secretariat communicates the decision in plain language with reasons based on </w:t>
      </w:r>
      <w:r w:rsidRPr="00561AC8">
        <w:rPr>
          <w:rFonts w:ascii="Arial" w:hAnsi="Arial" w:cs="Arial"/>
          <w:i/>
          <w:iCs/>
        </w:rPr>
        <w:t>National Ethical Standards</w:t>
      </w:r>
      <w:r w:rsidRPr="00561AC8">
        <w:rPr>
          <w:rFonts w:ascii="Arial" w:hAnsi="Arial" w:cs="Arial"/>
        </w:rPr>
        <w:t>. Records are stored per Section 11 of the Terms of Reference.</w:t>
      </w:r>
    </w:p>
    <w:p w14:paraId="7B2AE8DF" w14:textId="77777777" w:rsidR="00111C7A" w:rsidRPr="00561AC8" w:rsidRDefault="00111C7A" w:rsidP="00111C7A">
      <w:pPr>
        <w:rPr>
          <w:rFonts w:ascii="Arial" w:hAnsi="Arial" w:cs="Arial"/>
        </w:rPr>
      </w:pPr>
    </w:p>
    <w:p w14:paraId="3834B157" w14:textId="4919B801" w:rsidR="00111C7A" w:rsidRPr="00561AC8" w:rsidRDefault="00111C7A" w:rsidP="00111C7A">
      <w:pPr>
        <w:rPr>
          <w:rFonts w:ascii="Arial" w:hAnsi="Arial" w:cs="Arial"/>
        </w:rPr>
      </w:pPr>
      <w:r w:rsidRPr="00561AC8">
        <w:rPr>
          <w:rFonts w:ascii="Arial" w:hAnsi="Arial" w:cs="Arial"/>
          <w:b/>
          <w:bCs/>
        </w:rPr>
        <w:t>6)Escalation:</w:t>
      </w:r>
      <w:r w:rsidRPr="00561AC8">
        <w:rPr>
          <w:rFonts w:ascii="Arial" w:hAnsi="Arial" w:cs="Arial"/>
        </w:rPr>
        <w:t xml:space="preserve"> Applicants may appeal to the Health Research Council Ethics Committee (HRC EC) per HRC EC Terms of Reference within 20 working days, if unsatisfied (final and binding). Contact HRC EC for details.</w:t>
      </w:r>
    </w:p>
    <w:p w14:paraId="63AD86CA" w14:textId="77777777" w:rsidR="00111C7A" w:rsidRPr="00561AC8" w:rsidRDefault="00111C7A" w:rsidP="00111C7A">
      <w:pPr>
        <w:rPr>
          <w:rFonts w:ascii="Arial" w:hAnsi="Arial" w:cs="Arial"/>
        </w:rPr>
      </w:pPr>
    </w:p>
    <w:p w14:paraId="1318DE9C" w14:textId="77777777" w:rsidR="00111C7A" w:rsidRPr="00561AC8" w:rsidRDefault="00111C7A" w:rsidP="00111C7A">
      <w:pPr>
        <w:rPr>
          <w:rFonts w:ascii="Arial" w:hAnsi="Arial" w:cs="Arial"/>
          <w:b/>
          <w:bCs/>
        </w:rPr>
      </w:pPr>
      <w:r w:rsidRPr="00561AC8">
        <w:rPr>
          <w:rFonts w:ascii="Arial" w:hAnsi="Arial" w:cs="Arial"/>
          <w:b/>
          <w:bCs/>
        </w:rPr>
        <w:t>4.3 General Principles</w:t>
      </w:r>
    </w:p>
    <w:p w14:paraId="3C20B760" w14:textId="77777777" w:rsidR="00111C7A" w:rsidRPr="00561AC8" w:rsidRDefault="00111C7A" w:rsidP="00111C7A">
      <w:pPr>
        <w:rPr>
          <w:rFonts w:ascii="Arial" w:hAnsi="Arial" w:cs="Arial"/>
        </w:rPr>
      </w:pPr>
    </w:p>
    <w:p w14:paraId="4E27BA43" w14:textId="639626C6" w:rsidR="00111C7A" w:rsidRPr="00561AC8" w:rsidRDefault="00111C7A" w:rsidP="00111C7A">
      <w:pPr>
        <w:numPr>
          <w:ilvl w:val="0"/>
          <w:numId w:val="8"/>
        </w:numPr>
        <w:rPr>
          <w:rFonts w:ascii="Arial" w:hAnsi="Arial" w:cs="Arial"/>
        </w:rPr>
      </w:pPr>
      <w:r w:rsidRPr="00561AC8">
        <w:rPr>
          <w:rFonts w:ascii="Arial" w:hAnsi="Arial" w:cs="Arial"/>
          <w:b/>
          <w:bCs/>
        </w:rPr>
        <w:t>Natural Justice:</w:t>
      </w:r>
      <w:r w:rsidRPr="00561AC8">
        <w:rPr>
          <w:rFonts w:ascii="Arial" w:hAnsi="Arial" w:cs="Arial"/>
        </w:rPr>
        <w:t xml:space="preserve"> All complaints are processed impartially, transparently, and expeditiously, giving parties fair opportunity to be heard and respond.</w:t>
      </w:r>
    </w:p>
    <w:p w14:paraId="652174C1" w14:textId="77777777" w:rsidR="00111C7A" w:rsidRPr="00561AC8" w:rsidRDefault="00111C7A" w:rsidP="00111C7A">
      <w:pPr>
        <w:rPr>
          <w:rFonts w:ascii="Arial" w:hAnsi="Arial" w:cs="Arial"/>
        </w:rPr>
      </w:pPr>
    </w:p>
    <w:p w14:paraId="4F88F6D7" w14:textId="0689780F" w:rsidR="00111C7A" w:rsidRPr="00561AC8" w:rsidRDefault="00111C7A" w:rsidP="00111C7A">
      <w:pPr>
        <w:numPr>
          <w:ilvl w:val="0"/>
          <w:numId w:val="8"/>
        </w:numPr>
        <w:rPr>
          <w:rFonts w:ascii="Arial" w:hAnsi="Arial" w:cs="Arial"/>
        </w:rPr>
      </w:pPr>
      <w:r w:rsidRPr="00561AC8">
        <w:rPr>
          <w:rFonts w:ascii="Arial" w:hAnsi="Arial" w:cs="Arial"/>
          <w:b/>
          <w:bCs/>
        </w:rPr>
        <w:t>Confidentiality:</w:t>
      </w:r>
      <w:r w:rsidRPr="00561AC8">
        <w:rPr>
          <w:rFonts w:ascii="Arial" w:hAnsi="Arial" w:cs="Arial"/>
        </w:rPr>
        <w:t xml:space="preserve"> Complaints and investigations are confidential (per Section 11), with anonymi</w:t>
      </w:r>
      <w:r w:rsidR="00804914" w:rsidRPr="00561AC8">
        <w:rPr>
          <w:rFonts w:ascii="Arial" w:hAnsi="Arial" w:cs="Arial"/>
        </w:rPr>
        <w:t>s</w:t>
      </w:r>
      <w:r w:rsidRPr="00561AC8">
        <w:rPr>
          <w:rFonts w:ascii="Arial" w:hAnsi="Arial" w:cs="Arial"/>
        </w:rPr>
        <w:t>ed data shared only as required by law protecting participant/applicant privacy (e.g., Māori data sovereignty, Pacific cultural norms).</w:t>
      </w:r>
    </w:p>
    <w:p w14:paraId="54727111" w14:textId="77777777" w:rsidR="00111C7A" w:rsidRPr="00561AC8" w:rsidRDefault="00111C7A" w:rsidP="00111C7A">
      <w:pPr>
        <w:rPr>
          <w:rFonts w:ascii="Arial" w:hAnsi="Arial" w:cs="Arial"/>
        </w:rPr>
      </w:pPr>
    </w:p>
    <w:p w14:paraId="456886A5" w14:textId="2F2152EE" w:rsidR="00111C7A" w:rsidRPr="00561AC8" w:rsidRDefault="00111C7A" w:rsidP="00111C7A">
      <w:pPr>
        <w:numPr>
          <w:ilvl w:val="0"/>
          <w:numId w:val="8"/>
        </w:numPr>
        <w:rPr>
          <w:rFonts w:ascii="Arial" w:hAnsi="Arial" w:cs="Arial"/>
        </w:rPr>
      </w:pPr>
      <w:r w:rsidRPr="00561AC8">
        <w:rPr>
          <w:rFonts w:ascii="Arial" w:hAnsi="Arial" w:cs="Arial"/>
          <w:b/>
          <w:bCs/>
        </w:rPr>
        <w:t>Cultural Sensitivity:</w:t>
      </w:r>
      <w:r w:rsidRPr="00561AC8">
        <w:rPr>
          <w:rFonts w:ascii="Arial" w:hAnsi="Arial" w:cs="Arial"/>
        </w:rPr>
        <w:t xml:space="preserve"> </w:t>
      </w:r>
      <w:r w:rsidR="00561AC8">
        <w:rPr>
          <w:rFonts w:ascii="Arial" w:hAnsi="Arial" w:cs="Arial"/>
        </w:rPr>
        <w:t>The Collective</w:t>
      </w:r>
      <w:r w:rsidRPr="00561AC8">
        <w:rPr>
          <w:rFonts w:ascii="Arial" w:hAnsi="Arial" w:cs="Arial"/>
        </w:rPr>
        <w:t xml:space="preserve"> ensures culturally appropriate processes (e.g., hui, </w:t>
      </w:r>
      <w:proofErr w:type="spellStart"/>
      <w:r w:rsidRPr="00561AC8">
        <w:rPr>
          <w:rFonts w:ascii="Arial" w:hAnsi="Arial" w:cs="Arial"/>
        </w:rPr>
        <w:t>fono</w:t>
      </w:r>
      <w:proofErr w:type="spellEnd"/>
      <w:r w:rsidRPr="00561AC8">
        <w:rPr>
          <w:rFonts w:ascii="Arial" w:hAnsi="Arial" w:cs="Arial"/>
        </w:rPr>
        <w:t xml:space="preserve">, </w:t>
      </w:r>
      <w:proofErr w:type="spellStart"/>
      <w:r w:rsidRPr="00561AC8">
        <w:rPr>
          <w:rFonts w:ascii="Arial" w:hAnsi="Arial" w:cs="Arial"/>
        </w:rPr>
        <w:t>te</w:t>
      </w:r>
      <w:proofErr w:type="spellEnd"/>
      <w:r w:rsidRPr="00561AC8">
        <w:rPr>
          <w:rFonts w:ascii="Arial" w:hAnsi="Arial" w:cs="Arial"/>
        </w:rPr>
        <w:t xml:space="preserve"> </w:t>
      </w:r>
      <w:proofErr w:type="spellStart"/>
      <w:r w:rsidRPr="00561AC8">
        <w:rPr>
          <w:rFonts w:ascii="Arial" w:hAnsi="Arial" w:cs="Arial"/>
        </w:rPr>
        <w:t>reo</w:t>
      </w:r>
      <w:proofErr w:type="spellEnd"/>
      <w:r w:rsidRPr="00561AC8">
        <w:rPr>
          <w:rFonts w:ascii="Arial" w:hAnsi="Arial" w:cs="Arial"/>
        </w:rPr>
        <w:t xml:space="preserve"> Māori, Pacific languages) and consultations with Māori/Pacific communities, addressing equity and whānau </w:t>
      </w:r>
      <w:proofErr w:type="spellStart"/>
      <w:r w:rsidRPr="00561AC8">
        <w:rPr>
          <w:rFonts w:ascii="Arial" w:hAnsi="Arial" w:cs="Arial"/>
        </w:rPr>
        <w:t>ora</w:t>
      </w:r>
      <w:proofErr w:type="spellEnd"/>
      <w:r w:rsidRPr="00561AC8">
        <w:rPr>
          <w:rFonts w:ascii="Arial" w:hAnsi="Arial" w:cs="Arial"/>
        </w:rPr>
        <w:t xml:space="preserve"> (per </w:t>
      </w:r>
      <w:r w:rsidRPr="00561AC8">
        <w:rPr>
          <w:rFonts w:ascii="Arial" w:hAnsi="Arial" w:cs="Arial"/>
          <w:i/>
          <w:iCs/>
        </w:rPr>
        <w:t>National Ethical Standards</w:t>
      </w:r>
      <w:r w:rsidRPr="00561AC8">
        <w:rPr>
          <w:rFonts w:ascii="Arial" w:hAnsi="Arial" w:cs="Arial"/>
        </w:rPr>
        <w:t xml:space="preserve"> Chapter 6).</w:t>
      </w:r>
    </w:p>
    <w:p w14:paraId="5602503E" w14:textId="77777777" w:rsidR="00111C7A" w:rsidRPr="00561AC8" w:rsidRDefault="00111C7A" w:rsidP="00111C7A">
      <w:pPr>
        <w:rPr>
          <w:rFonts w:ascii="Arial" w:hAnsi="Arial" w:cs="Arial"/>
        </w:rPr>
      </w:pPr>
    </w:p>
    <w:p w14:paraId="31CD2E5F" w14:textId="2C772E4F" w:rsidR="00111C7A" w:rsidRPr="00561AC8" w:rsidRDefault="00111C7A" w:rsidP="00111C7A">
      <w:pPr>
        <w:numPr>
          <w:ilvl w:val="0"/>
          <w:numId w:val="8"/>
        </w:numPr>
        <w:rPr>
          <w:rFonts w:ascii="Arial" w:hAnsi="Arial" w:cs="Arial"/>
        </w:rPr>
      </w:pPr>
      <w:r w:rsidRPr="00561AC8">
        <w:rPr>
          <w:rFonts w:ascii="Arial" w:hAnsi="Arial" w:cs="Arial"/>
          <w:b/>
          <w:bCs/>
        </w:rPr>
        <w:t>Timelines:</w:t>
      </w:r>
      <w:r w:rsidRPr="00561AC8">
        <w:rPr>
          <w:rFonts w:ascii="Arial" w:hAnsi="Arial" w:cs="Arial"/>
        </w:rPr>
        <w:t xml:space="preserve"> Complaints are resolved within 20–30 working days extendable for reasonable delays (e.g., cultural consultation, legal advice), with progress updates to parties.</w:t>
      </w:r>
    </w:p>
    <w:p w14:paraId="2778AFCE" w14:textId="77777777" w:rsidR="00111C7A" w:rsidRPr="00561AC8" w:rsidRDefault="00111C7A" w:rsidP="00111C7A">
      <w:pPr>
        <w:rPr>
          <w:rFonts w:ascii="Arial" w:hAnsi="Arial" w:cs="Arial"/>
        </w:rPr>
      </w:pPr>
    </w:p>
    <w:p w14:paraId="1CE5D933" w14:textId="6B175688" w:rsidR="00111C7A" w:rsidRPr="00561AC8" w:rsidRDefault="00111C7A" w:rsidP="00601F9F">
      <w:pPr>
        <w:numPr>
          <w:ilvl w:val="0"/>
          <w:numId w:val="8"/>
        </w:numPr>
        <w:rPr>
          <w:rFonts w:ascii="Arial" w:hAnsi="Arial" w:cs="Arial"/>
        </w:rPr>
      </w:pPr>
      <w:r w:rsidRPr="00561AC8">
        <w:rPr>
          <w:rFonts w:ascii="Arial" w:hAnsi="Arial" w:cs="Arial"/>
          <w:b/>
          <w:bCs/>
        </w:rPr>
        <w:t>Records:</w:t>
      </w:r>
      <w:r w:rsidRPr="00561AC8">
        <w:rPr>
          <w:rFonts w:ascii="Arial" w:hAnsi="Arial" w:cs="Arial"/>
        </w:rPr>
        <w:t xml:space="preserve"> Stored electronically per Section 11 of the terms of reference.</w:t>
      </w:r>
    </w:p>
    <w:p w14:paraId="38CA2C1B" w14:textId="733848DD" w:rsidR="00111C7A" w:rsidRPr="00561AC8" w:rsidRDefault="00111C7A" w:rsidP="00111C7A">
      <w:pPr>
        <w:rPr>
          <w:rFonts w:ascii="Arial" w:hAnsi="Arial" w:cs="Arial"/>
        </w:rPr>
      </w:pPr>
    </w:p>
    <w:p w14:paraId="3F0AD296" w14:textId="77777777" w:rsidR="00111C7A" w:rsidRPr="00561AC8" w:rsidRDefault="00111C7A" w:rsidP="00111C7A">
      <w:pPr>
        <w:rPr>
          <w:rFonts w:ascii="Arial" w:hAnsi="Arial" w:cs="Arial"/>
          <w:b/>
          <w:bCs/>
        </w:rPr>
      </w:pPr>
      <w:r w:rsidRPr="00561AC8">
        <w:rPr>
          <w:rFonts w:ascii="Arial" w:hAnsi="Arial" w:cs="Arial"/>
          <w:b/>
          <w:bCs/>
        </w:rPr>
        <w:t>5. Limitations</w:t>
      </w:r>
    </w:p>
    <w:p w14:paraId="1D3DA8F9" w14:textId="77777777" w:rsidR="00111C7A" w:rsidRPr="00561AC8" w:rsidRDefault="00111C7A" w:rsidP="00111C7A">
      <w:pPr>
        <w:rPr>
          <w:rFonts w:ascii="Arial" w:hAnsi="Arial" w:cs="Arial"/>
        </w:rPr>
      </w:pPr>
    </w:p>
    <w:p w14:paraId="6188222F" w14:textId="1545460B" w:rsidR="00111C7A" w:rsidRPr="00561AC8" w:rsidRDefault="00561AC8" w:rsidP="00111C7A">
      <w:pPr>
        <w:rPr>
          <w:rFonts w:ascii="Arial" w:hAnsi="Arial" w:cs="Arial"/>
        </w:rPr>
      </w:pPr>
      <w:r>
        <w:rPr>
          <w:rFonts w:ascii="Arial" w:hAnsi="Arial" w:cs="Arial"/>
        </w:rPr>
        <w:t>The Collective</w:t>
      </w:r>
      <w:r w:rsidR="00111C7A" w:rsidRPr="00561AC8">
        <w:rPr>
          <w:rFonts w:ascii="Arial" w:hAnsi="Arial" w:cs="Arial"/>
        </w:rPr>
        <w:t xml:space="preserve"> cannot:</w:t>
      </w:r>
    </w:p>
    <w:p w14:paraId="10CD8390" w14:textId="77777777" w:rsidR="00111C7A" w:rsidRPr="00561AC8" w:rsidRDefault="00111C7A" w:rsidP="00111C7A">
      <w:pPr>
        <w:rPr>
          <w:rFonts w:ascii="Arial" w:hAnsi="Arial" w:cs="Arial"/>
        </w:rPr>
      </w:pPr>
    </w:p>
    <w:p w14:paraId="3E945B16" w14:textId="77777777" w:rsidR="00111C7A" w:rsidRPr="00561AC8" w:rsidRDefault="00111C7A" w:rsidP="00111C7A">
      <w:pPr>
        <w:numPr>
          <w:ilvl w:val="1"/>
          <w:numId w:val="9"/>
        </w:numPr>
        <w:tabs>
          <w:tab w:val="clear" w:pos="1440"/>
          <w:tab w:val="num" w:pos="360"/>
        </w:tabs>
        <w:ind w:left="360"/>
        <w:rPr>
          <w:rFonts w:ascii="Arial" w:hAnsi="Arial" w:cs="Arial"/>
        </w:rPr>
      </w:pPr>
      <w:r w:rsidRPr="00561AC8">
        <w:rPr>
          <w:rFonts w:ascii="Arial" w:hAnsi="Arial" w:cs="Arial"/>
        </w:rPr>
        <w:t>Resolve commercial, legal, financial, or contractual disputes (refer to courts, sponsors, or institutions).</w:t>
      </w:r>
    </w:p>
    <w:p w14:paraId="5C77380D" w14:textId="77777777" w:rsidR="00111C7A" w:rsidRPr="00561AC8" w:rsidRDefault="00111C7A" w:rsidP="00111C7A">
      <w:pPr>
        <w:ind w:left="-1080"/>
        <w:rPr>
          <w:rFonts w:ascii="Arial" w:hAnsi="Arial" w:cs="Arial"/>
        </w:rPr>
      </w:pPr>
    </w:p>
    <w:p w14:paraId="64AE3B7D" w14:textId="77777777" w:rsidR="00111C7A" w:rsidRPr="00561AC8" w:rsidRDefault="00111C7A" w:rsidP="00111C7A">
      <w:pPr>
        <w:numPr>
          <w:ilvl w:val="1"/>
          <w:numId w:val="9"/>
        </w:numPr>
        <w:tabs>
          <w:tab w:val="clear" w:pos="1440"/>
          <w:tab w:val="num" w:pos="360"/>
        </w:tabs>
        <w:ind w:left="360"/>
        <w:rPr>
          <w:rFonts w:ascii="Arial" w:hAnsi="Arial" w:cs="Arial"/>
        </w:rPr>
      </w:pPr>
      <w:r w:rsidRPr="00561AC8">
        <w:rPr>
          <w:rFonts w:ascii="Arial" w:hAnsi="Arial" w:cs="Arial"/>
        </w:rPr>
        <w:t>Make disciplinary findings/orders against individuals (refer to institutions or legal bodies).</w:t>
      </w:r>
    </w:p>
    <w:p w14:paraId="0B2D126A" w14:textId="77777777" w:rsidR="00111C7A" w:rsidRPr="00561AC8" w:rsidRDefault="00111C7A" w:rsidP="00111C7A">
      <w:pPr>
        <w:ind w:left="-1080"/>
        <w:rPr>
          <w:rFonts w:ascii="Arial" w:hAnsi="Arial" w:cs="Arial"/>
        </w:rPr>
      </w:pPr>
    </w:p>
    <w:p w14:paraId="2E0C5076" w14:textId="3ECC27C7" w:rsidR="00111C7A" w:rsidRPr="00561AC8" w:rsidRDefault="00111C7A" w:rsidP="00111C7A">
      <w:pPr>
        <w:numPr>
          <w:ilvl w:val="1"/>
          <w:numId w:val="9"/>
        </w:numPr>
        <w:tabs>
          <w:tab w:val="clear" w:pos="1440"/>
          <w:tab w:val="num" w:pos="360"/>
        </w:tabs>
        <w:ind w:left="360"/>
        <w:rPr>
          <w:rFonts w:ascii="Arial" w:hAnsi="Arial" w:cs="Arial"/>
        </w:rPr>
      </w:pPr>
      <w:r w:rsidRPr="00561AC8">
        <w:rPr>
          <w:rFonts w:ascii="Arial" w:hAnsi="Arial" w:cs="Arial"/>
        </w:rPr>
        <w:t xml:space="preserve">Address </w:t>
      </w:r>
      <w:r w:rsidRPr="00561AC8">
        <w:rPr>
          <w:rFonts w:ascii="Arial" w:hAnsi="Arial" w:cs="Arial"/>
          <w:i/>
          <w:iCs/>
        </w:rPr>
        <w:t>Code of Health and Disability Services Consumers’ Rights</w:t>
      </w:r>
      <w:r w:rsidRPr="00561AC8">
        <w:rPr>
          <w:rFonts w:ascii="Arial" w:hAnsi="Arial" w:cs="Arial"/>
        </w:rPr>
        <w:t xml:space="preserve">, </w:t>
      </w:r>
      <w:r w:rsidRPr="00561AC8">
        <w:rPr>
          <w:rFonts w:ascii="Arial" w:hAnsi="Arial" w:cs="Arial"/>
          <w:i/>
          <w:iCs/>
        </w:rPr>
        <w:t>Privacy Act 2020</w:t>
      </w:r>
      <w:r w:rsidRPr="00561AC8">
        <w:rPr>
          <w:rFonts w:ascii="Arial" w:hAnsi="Arial" w:cs="Arial"/>
        </w:rPr>
        <w:t xml:space="preserve">, or </w:t>
      </w:r>
      <w:r w:rsidRPr="00561AC8">
        <w:rPr>
          <w:rFonts w:ascii="Arial" w:hAnsi="Arial" w:cs="Arial"/>
          <w:i/>
          <w:iCs/>
        </w:rPr>
        <w:t>Health Information Privacy Code 2020</w:t>
      </w:r>
      <w:r w:rsidRPr="00561AC8">
        <w:rPr>
          <w:rFonts w:ascii="Arial" w:hAnsi="Arial" w:cs="Arial"/>
        </w:rPr>
        <w:t xml:space="preserve"> breaches directly (refer to relevant commissioners).</w:t>
      </w:r>
    </w:p>
    <w:p w14:paraId="2977872D" w14:textId="77777777" w:rsidR="00111C7A" w:rsidRPr="00561AC8" w:rsidRDefault="00111C7A" w:rsidP="00111C7A">
      <w:pPr>
        <w:rPr>
          <w:rFonts w:ascii="Arial" w:hAnsi="Arial" w:cs="Arial"/>
        </w:rPr>
      </w:pPr>
    </w:p>
    <w:p w14:paraId="698987B0" w14:textId="1D9CDC87" w:rsidR="00111C7A" w:rsidRPr="00561AC8" w:rsidRDefault="00111C7A" w:rsidP="00111C7A">
      <w:pPr>
        <w:rPr>
          <w:rFonts w:ascii="Arial" w:hAnsi="Arial" w:cs="Arial"/>
        </w:rPr>
      </w:pPr>
      <w:r w:rsidRPr="00561AC8">
        <w:rPr>
          <w:rFonts w:ascii="Arial" w:hAnsi="Arial" w:cs="Arial"/>
        </w:rPr>
        <w:t>Serious ethical breaches may trigger reconsideration of approval (Section 7.6), but enforcement lies with sponsors/CIs or regulators.</w:t>
      </w:r>
    </w:p>
    <w:p w14:paraId="5C274992" w14:textId="77777777" w:rsidR="00111C7A" w:rsidRPr="00561AC8" w:rsidRDefault="00111C7A" w:rsidP="00111C7A">
      <w:pPr>
        <w:rPr>
          <w:rFonts w:ascii="Arial" w:hAnsi="Arial" w:cs="Arial"/>
        </w:rPr>
      </w:pPr>
    </w:p>
    <w:p w14:paraId="6A3E4FB0" w14:textId="25C4FA4A" w:rsidR="00111C7A" w:rsidRPr="00561AC8" w:rsidRDefault="00111C7A" w:rsidP="00111C7A">
      <w:pPr>
        <w:rPr>
          <w:rFonts w:ascii="Arial" w:hAnsi="Arial" w:cs="Arial"/>
        </w:rPr>
      </w:pPr>
    </w:p>
    <w:p w14:paraId="7383F11F" w14:textId="77777777" w:rsidR="00111C7A" w:rsidRPr="00561AC8" w:rsidRDefault="00111C7A" w:rsidP="00111C7A">
      <w:pPr>
        <w:rPr>
          <w:rFonts w:ascii="Arial" w:hAnsi="Arial" w:cs="Arial"/>
          <w:b/>
          <w:bCs/>
        </w:rPr>
      </w:pPr>
      <w:r w:rsidRPr="00561AC8">
        <w:rPr>
          <w:rFonts w:ascii="Arial" w:hAnsi="Arial" w:cs="Arial"/>
          <w:b/>
          <w:bCs/>
        </w:rPr>
        <w:t>6. Implementation</w:t>
      </w:r>
    </w:p>
    <w:p w14:paraId="27C61877" w14:textId="77777777" w:rsidR="00111C7A" w:rsidRPr="00561AC8" w:rsidRDefault="00111C7A" w:rsidP="00111C7A">
      <w:pPr>
        <w:rPr>
          <w:rFonts w:ascii="Arial" w:hAnsi="Arial" w:cs="Arial"/>
        </w:rPr>
      </w:pPr>
    </w:p>
    <w:p w14:paraId="61BA668E" w14:textId="2A092321" w:rsidR="00111C7A" w:rsidRPr="00561AC8" w:rsidRDefault="00111C7A" w:rsidP="00561AC8">
      <w:pPr>
        <w:rPr>
          <w:rFonts w:ascii="Arial" w:hAnsi="Arial" w:cs="Arial"/>
        </w:rPr>
      </w:pPr>
      <w:r w:rsidRPr="00561AC8">
        <w:rPr>
          <w:rFonts w:ascii="Arial" w:hAnsi="Arial" w:cs="Arial"/>
        </w:rPr>
        <w:t xml:space="preserve">This policy is effective from </w:t>
      </w:r>
      <w:r w:rsidR="00804914" w:rsidRPr="00561AC8">
        <w:rPr>
          <w:rFonts w:ascii="Arial" w:hAnsi="Arial" w:cs="Arial"/>
        </w:rPr>
        <w:t>9 March 2025</w:t>
      </w:r>
      <w:r w:rsidRPr="00561AC8">
        <w:rPr>
          <w:rFonts w:ascii="Arial" w:hAnsi="Arial" w:cs="Arial"/>
        </w:rPr>
        <w:t xml:space="preserve"> integrated into </w:t>
      </w:r>
      <w:r w:rsidR="00561AC8">
        <w:rPr>
          <w:rFonts w:ascii="Arial" w:hAnsi="Arial" w:cs="Arial"/>
        </w:rPr>
        <w:t>The Collective</w:t>
      </w:r>
      <w:r w:rsidRPr="00561AC8">
        <w:rPr>
          <w:rFonts w:ascii="Arial" w:hAnsi="Arial" w:cs="Arial"/>
        </w:rPr>
        <w:t xml:space="preserve"> T</w:t>
      </w:r>
      <w:r w:rsidR="00561AC8">
        <w:rPr>
          <w:rFonts w:ascii="Arial" w:hAnsi="Arial" w:cs="Arial"/>
        </w:rPr>
        <w:t xml:space="preserve">erms of Reference </w:t>
      </w:r>
      <w:r w:rsidRPr="00561AC8">
        <w:rPr>
          <w:rFonts w:ascii="Arial" w:hAnsi="Arial" w:cs="Arial"/>
        </w:rPr>
        <w:t xml:space="preserve">(Sections 7.6, 9, 11) and published separately. </w:t>
      </w:r>
    </w:p>
    <w:p w14:paraId="7F190054" w14:textId="77777777" w:rsidR="00111C7A" w:rsidRPr="00561AC8" w:rsidRDefault="00111C7A" w:rsidP="00111C7A">
      <w:pPr>
        <w:ind w:left="720"/>
        <w:rPr>
          <w:rFonts w:ascii="Arial" w:hAnsi="Arial" w:cs="Arial"/>
        </w:rPr>
      </w:pPr>
    </w:p>
    <w:p w14:paraId="75A55DC7" w14:textId="7AA9DE19" w:rsidR="00111C7A" w:rsidRPr="00561AC8" w:rsidRDefault="00111C7A" w:rsidP="00561AC8">
      <w:pPr>
        <w:rPr>
          <w:rFonts w:ascii="Arial" w:hAnsi="Arial" w:cs="Arial"/>
        </w:rPr>
      </w:pPr>
      <w:r w:rsidRPr="00561AC8">
        <w:rPr>
          <w:rFonts w:ascii="Arial" w:hAnsi="Arial" w:cs="Arial"/>
        </w:rPr>
        <w:t>Complaints pre-dating this date follow existing processes until resolved.</w:t>
      </w:r>
    </w:p>
    <w:p w14:paraId="640B7F3F" w14:textId="77777777" w:rsidR="00111C7A" w:rsidRPr="00561AC8" w:rsidRDefault="00111C7A" w:rsidP="00111C7A">
      <w:pPr>
        <w:rPr>
          <w:rFonts w:ascii="Arial" w:hAnsi="Arial" w:cs="Arial"/>
        </w:rPr>
      </w:pPr>
    </w:p>
    <w:p w14:paraId="281D7991" w14:textId="77777777" w:rsidR="00111C7A" w:rsidRPr="00561AC8" w:rsidRDefault="00111C7A" w:rsidP="00561AC8">
      <w:pPr>
        <w:rPr>
          <w:rFonts w:ascii="Arial" w:hAnsi="Arial" w:cs="Arial"/>
        </w:rPr>
      </w:pPr>
      <w:r w:rsidRPr="00561AC8">
        <w:rPr>
          <w:rFonts w:ascii="Arial" w:hAnsi="Arial" w:cs="Arial"/>
        </w:rPr>
        <w:t>The Secretariat trains members annually (per Section 8.3) on complaints handling, cultural competence, and natural justice, ensuring compliance with New Zealand standards.</w:t>
      </w:r>
    </w:p>
    <w:p w14:paraId="0DCD75D0" w14:textId="77777777" w:rsidR="00111C7A" w:rsidRPr="00561AC8" w:rsidRDefault="00111C7A" w:rsidP="00111C7A">
      <w:pPr>
        <w:rPr>
          <w:rFonts w:ascii="Arial" w:hAnsi="Arial" w:cs="Arial"/>
        </w:rPr>
      </w:pPr>
    </w:p>
    <w:p w14:paraId="1E2D60A4" w14:textId="3B957138" w:rsidR="00111C7A" w:rsidRPr="00561AC8" w:rsidRDefault="00111C7A" w:rsidP="00111C7A">
      <w:pPr>
        <w:rPr>
          <w:rFonts w:ascii="Arial" w:hAnsi="Arial" w:cs="Arial"/>
        </w:rPr>
      </w:pPr>
    </w:p>
    <w:p w14:paraId="4DE13045" w14:textId="77777777" w:rsidR="00111C7A" w:rsidRPr="00561AC8" w:rsidRDefault="00111C7A" w:rsidP="00111C7A">
      <w:pPr>
        <w:rPr>
          <w:rFonts w:ascii="Arial" w:hAnsi="Arial" w:cs="Arial"/>
          <w:b/>
          <w:bCs/>
        </w:rPr>
      </w:pPr>
      <w:r w:rsidRPr="00561AC8">
        <w:rPr>
          <w:rFonts w:ascii="Arial" w:hAnsi="Arial" w:cs="Arial"/>
          <w:b/>
          <w:bCs/>
        </w:rPr>
        <w:t>7. Review</w:t>
      </w:r>
    </w:p>
    <w:p w14:paraId="5305A5DA" w14:textId="77777777" w:rsidR="00111C7A" w:rsidRPr="00561AC8" w:rsidRDefault="00111C7A" w:rsidP="00111C7A">
      <w:pPr>
        <w:rPr>
          <w:rFonts w:ascii="Arial" w:hAnsi="Arial" w:cs="Arial"/>
        </w:rPr>
      </w:pPr>
    </w:p>
    <w:p w14:paraId="1AB86D6C" w14:textId="51A3FD71" w:rsidR="00111C7A" w:rsidRPr="00561AC8" w:rsidRDefault="00561AC8" w:rsidP="00561AC8">
      <w:pPr>
        <w:rPr>
          <w:rFonts w:ascii="Arial" w:hAnsi="Arial" w:cs="Arial"/>
        </w:rPr>
      </w:pPr>
      <w:r>
        <w:rPr>
          <w:rFonts w:ascii="Arial" w:hAnsi="Arial" w:cs="Arial"/>
        </w:rPr>
        <w:t>The Collective</w:t>
      </w:r>
      <w:r w:rsidR="00111C7A" w:rsidRPr="00561AC8">
        <w:rPr>
          <w:rFonts w:ascii="Arial" w:hAnsi="Arial" w:cs="Arial"/>
        </w:rPr>
        <w:t xml:space="preserve"> reviews this policy every three years (per Section 14), or sooner if legislative/cultural changes arise, amendable by the advisory board or governance body.</w:t>
      </w:r>
    </w:p>
    <w:p w14:paraId="304A77D1" w14:textId="77777777" w:rsidR="00111C7A" w:rsidRPr="00561AC8" w:rsidRDefault="00111C7A" w:rsidP="00111C7A">
      <w:pPr>
        <w:rPr>
          <w:rFonts w:ascii="Arial" w:hAnsi="Arial" w:cs="Arial"/>
        </w:rPr>
      </w:pPr>
    </w:p>
    <w:p w14:paraId="6DFC6AE8" w14:textId="77777777" w:rsidR="00C053B9" w:rsidRPr="00561AC8" w:rsidRDefault="00C053B9">
      <w:pPr>
        <w:rPr>
          <w:rFonts w:ascii="Arial" w:hAnsi="Arial" w:cs="Arial"/>
        </w:rPr>
      </w:pPr>
    </w:p>
    <w:p w14:paraId="3262CBBE" w14:textId="77777777" w:rsidR="00804914" w:rsidRPr="00561AC8" w:rsidRDefault="00804914" w:rsidP="00804914">
      <w:pPr>
        <w:rPr>
          <w:rFonts w:ascii="Arial" w:hAnsi="Arial" w:cs="Arial"/>
        </w:rPr>
      </w:pPr>
    </w:p>
    <w:p w14:paraId="0CCD9F7E" w14:textId="77777777" w:rsidR="00804914" w:rsidRPr="00561AC8" w:rsidRDefault="00804914" w:rsidP="00804914">
      <w:pPr>
        <w:rPr>
          <w:rFonts w:ascii="Arial" w:hAnsi="Arial" w:cs="Arial"/>
        </w:rPr>
      </w:pPr>
    </w:p>
    <w:p w14:paraId="209C96C8" w14:textId="32512F9A" w:rsidR="00804914" w:rsidRPr="00561AC8" w:rsidRDefault="00804914" w:rsidP="00804914">
      <w:pPr>
        <w:tabs>
          <w:tab w:val="left" w:pos="3738"/>
        </w:tabs>
        <w:rPr>
          <w:rFonts w:ascii="Arial" w:hAnsi="Arial" w:cs="Arial"/>
        </w:rPr>
      </w:pPr>
      <w:r w:rsidRPr="00561AC8">
        <w:rPr>
          <w:rFonts w:ascii="Arial" w:hAnsi="Arial" w:cs="Arial"/>
        </w:rPr>
        <w:tab/>
      </w:r>
    </w:p>
    <w:sectPr w:rsidR="00804914" w:rsidRPr="00561AC8">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D9EC6" w14:textId="77777777" w:rsidR="00A666E9" w:rsidRDefault="00A666E9" w:rsidP="00804914">
      <w:r>
        <w:separator/>
      </w:r>
    </w:p>
  </w:endnote>
  <w:endnote w:type="continuationSeparator" w:id="0">
    <w:p w14:paraId="00350C57" w14:textId="77777777" w:rsidR="00A666E9" w:rsidRDefault="00A666E9" w:rsidP="0080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8169103"/>
      <w:docPartObj>
        <w:docPartGallery w:val="Page Numbers (Bottom of Page)"/>
        <w:docPartUnique/>
      </w:docPartObj>
    </w:sdtPr>
    <w:sdtContent>
      <w:p w14:paraId="730EF031" w14:textId="631B0F2A" w:rsidR="00804914" w:rsidRDefault="00804914" w:rsidP="00BD75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A8460B" w14:textId="77777777" w:rsidR="00804914" w:rsidRDefault="00804914" w:rsidP="008049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9336588"/>
      <w:docPartObj>
        <w:docPartGallery w:val="Page Numbers (Bottom of Page)"/>
        <w:docPartUnique/>
      </w:docPartObj>
    </w:sdtPr>
    <w:sdtContent>
      <w:p w14:paraId="198A5058" w14:textId="029D5888" w:rsidR="00804914" w:rsidRDefault="00804914" w:rsidP="00BD75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4BBA16" w14:textId="3705A2DD" w:rsidR="00804914" w:rsidRPr="00804914" w:rsidRDefault="00561AC8" w:rsidP="00804914">
    <w:pPr>
      <w:pStyle w:val="Footer"/>
      <w:ind w:right="360"/>
      <w:rPr>
        <w:lang w:val="en-AU"/>
      </w:rPr>
    </w:pPr>
    <w:r>
      <w:rPr>
        <w:lang w:val="en-AU"/>
      </w:rPr>
      <w:t>The Collectives</w:t>
    </w:r>
    <w:r w:rsidR="00804914">
      <w:rPr>
        <w:lang w:val="en-AU"/>
      </w:rPr>
      <w:t xml:space="preserve"> Complaints policy March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9564" w14:textId="77777777" w:rsidR="00A666E9" w:rsidRDefault="00A666E9" w:rsidP="00804914">
      <w:r>
        <w:separator/>
      </w:r>
    </w:p>
  </w:footnote>
  <w:footnote w:type="continuationSeparator" w:id="0">
    <w:p w14:paraId="11FB2DF2" w14:textId="77777777" w:rsidR="00A666E9" w:rsidRDefault="00A666E9" w:rsidP="00804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C23A" w14:textId="6326A4EC" w:rsidR="00804914" w:rsidRDefault="00804914" w:rsidP="00804914">
    <w:pPr>
      <w:pStyle w:val="Header"/>
      <w:jc w:val="right"/>
    </w:pPr>
    <w:r w:rsidRPr="00BF1D99">
      <w:rPr>
        <w:noProof/>
      </w:rPr>
      <w:drawing>
        <wp:inline distT="0" distB="0" distL="0" distR="0" wp14:anchorId="5C91E293" wp14:editId="63AE105F">
          <wp:extent cx="1651000" cy="787400"/>
          <wp:effectExtent l="0" t="0" r="0" b="0"/>
          <wp:docPr id="139042098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20984" name="Picture 1" descr="A blue and white logo&#10;&#10;AI-generated content may be incorrect."/>
                  <pic:cNvPicPr/>
                </pic:nvPicPr>
                <pic:blipFill>
                  <a:blip r:embed="rId1"/>
                  <a:stretch>
                    <a:fillRect/>
                  </a:stretch>
                </pic:blipFill>
                <pic:spPr>
                  <a:xfrm>
                    <a:off x="0" y="0"/>
                    <a:ext cx="1651000" cy="78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33A2"/>
    <w:multiLevelType w:val="multilevel"/>
    <w:tmpl w:val="0F2C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16654"/>
    <w:multiLevelType w:val="multilevel"/>
    <w:tmpl w:val="C0AA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C70B3"/>
    <w:multiLevelType w:val="multilevel"/>
    <w:tmpl w:val="91F85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E0A0D"/>
    <w:multiLevelType w:val="multilevel"/>
    <w:tmpl w:val="7BCA6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07B67"/>
    <w:multiLevelType w:val="multilevel"/>
    <w:tmpl w:val="CEC2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B6874"/>
    <w:multiLevelType w:val="hybridMultilevel"/>
    <w:tmpl w:val="58F2C842"/>
    <w:lvl w:ilvl="0" w:tplc="85429E9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B968F3"/>
    <w:multiLevelType w:val="multilevel"/>
    <w:tmpl w:val="F048A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E025A"/>
    <w:multiLevelType w:val="multilevel"/>
    <w:tmpl w:val="D92C1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C2DCD"/>
    <w:multiLevelType w:val="multilevel"/>
    <w:tmpl w:val="859E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D27141"/>
    <w:multiLevelType w:val="multilevel"/>
    <w:tmpl w:val="39DC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043878">
    <w:abstractNumId w:val="9"/>
  </w:num>
  <w:num w:numId="2" w16cid:durableId="901867337">
    <w:abstractNumId w:val="2"/>
  </w:num>
  <w:num w:numId="3" w16cid:durableId="992221394">
    <w:abstractNumId w:val="1"/>
  </w:num>
  <w:num w:numId="4" w16cid:durableId="333269393">
    <w:abstractNumId w:val="6"/>
  </w:num>
  <w:num w:numId="5" w16cid:durableId="1848010180">
    <w:abstractNumId w:val="6"/>
    <w:lvlOverride w:ilvl="1">
      <w:lvl w:ilvl="1">
        <w:start w:val="1"/>
        <w:numFmt w:val="decimal"/>
        <w:lvlText w:val="%2)"/>
        <w:lvlJc w:val="left"/>
        <w:rPr>
          <w:rFonts w:asciiTheme="minorHAnsi" w:eastAsiaTheme="minorHAnsi" w:hAnsiTheme="minorHAnsi" w:cstheme="minorBidi"/>
        </w:rPr>
      </w:lvl>
    </w:lvlOverride>
  </w:num>
  <w:num w:numId="6" w16cid:durableId="1129476807">
    <w:abstractNumId w:val="3"/>
  </w:num>
  <w:num w:numId="7" w16cid:durableId="1044402262">
    <w:abstractNumId w:val="3"/>
    <w:lvlOverride w:ilvl="1">
      <w:lvl w:ilvl="1">
        <w:numFmt w:val="decimal"/>
        <w:lvlText w:val="%2."/>
        <w:lvlJc w:val="left"/>
      </w:lvl>
    </w:lvlOverride>
  </w:num>
  <w:num w:numId="8" w16cid:durableId="1252928032">
    <w:abstractNumId w:val="0"/>
  </w:num>
  <w:num w:numId="9" w16cid:durableId="2124569117">
    <w:abstractNumId w:val="7"/>
  </w:num>
  <w:num w:numId="10" w16cid:durableId="229121884">
    <w:abstractNumId w:val="8"/>
  </w:num>
  <w:num w:numId="11" w16cid:durableId="1426850924">
    <w:abstractNumId w:val="4"/>
  </w:num>
  <w:num w:numId="12" w16cid:durableId="1084765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7A"/>
    <w:rsid w:val="00064EE1"/>
    <w:rsid w:val="00111C7A"/>
    <w:rsid w:val="001801C9"/>
    <w:rsid w:val="00257C03"/>
    <w:rsid w:val="002A05C2"/>
    <w:rsid w:val="00306CB2"/>
    <w:rsid w:val="003670A7"/>
    <w:rsid w:val="003703D2"/>
    <w:rsid w:val="003979D1"/>
    <w:rsid w:val="003A4BAB"/>
    <w:rsid w:val="004C495B"/>
    <w:rsid w:val="00561AC8"/>
    <w:rsid w:val="00577F4D"/>
    <w:rsid w:val="00690A0B"/>
    <w:rsid w:val="00804914"/>
    <w:rsid w:val="008F1EC4"/>
    <w:rsid w:val="00997CE4"/>
    <w:rsid w:val="00A666E9"/>
    <w:rsid w:val="00A7653E"/>
    <w:rsid w:val="00AD6F1E"/>
    <w:rsid w:val="00B316B5"/>
    <w:rsid w:val="00B77142"/>
    <w:rsid w:val="00C053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123FF"/>
  <w15:chartTrackingRefBased/>
  <w15:docId w15:val="{D5FA71F9-443B-1A42-8D07-D978CA5B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C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C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C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C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C7A"/>
    <w:rPr>
      <w:rFonts w:eastAsiaTheme="majorEastAsia" w:cstheme="majorBidi"/>
      <w:color w:val="272727" w:themeColor="text1" w:themeTint="D8"/>
    </w:rPr>
  </w:style>
  <w:style w:type="paragraph" w:styleId="Title">
    <w:name w:val="Title"/>
    <w:basedOn w:val="Normal"/>
    <w:next w:val="Normal"/>
    <w:link w:val="TitleChar"/>
    <w:uiPriority w:val="10"/>
    <w:qFormat/>
    <w:rsid w:val="00111C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C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C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1C7A"/>
    <w:rPr>
      <w:i/>
      <w:iCs/>
      <w:color w:val="404040" w:themeColor="text1" w:themeTint="BF"/>
    </w:rPr>
  </w:style>
  <w:style w:type="paragraph" w:styleId="ListParagraph">
    <w:name w:val="List Paragraph"/>
    <w:basedOn w:val="Normal"/>
    <w:uiPriority w:val="34"/>
    <w:qFormat/>
    <w:rsid w:val="00111C7A"/>
    <w:pPr>
      <w:ind w:left="720"/>
      <w:contextualSpacing/>
    </w:pPr>
  </w:style>
  <w:style w:type="character" w:styleId="IntenseEmphasis">
    <w:name w:val="Intense Emphasis"/>
    <w:basedOn w:val="DefaultParagraphFont"/>
    <w:uiPriority w:val="21"/>
    <w:qFormat/>
    <w:rsid w:val="00111C7A"/>
    <w:rPr>
      <w:i/>
      <w:iCs/>
      <w:color w:val="0F4761" w:themeColor="accent1" w:themeShade="BF"/>
    </w:rPr>
  </w:style>
  <w:style w:type="paragraph" w:styleId="IntenseQuote">
    <w:name w:val="Intense Quote"/>
    <w:basedOn w:val="Normal"/>
    <w:next w:val="Normal"/>
    <w:link w:val="IntenseQuoteChar"/>
    <w:uiPriority w:val="30"/>
    <w:qFormat/>
    <w:rsid w:val="00111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C7A"/>
    <w:rPr>
      <w:i/>
      <w:iCs/>
      <w:color w:val="0F4761" w:themeColor="accent1" w:themeShade="BF"/>
    </w:rPr>
  </w:style>
  <w:style w:type="character" w:styleId="IntenseReference">
    <w:name w:val="Intense Reference"/>
    <w:basedOn w:val="DefaultParagraphFont"/>
    <w:uiPriority w:val="32"/>
    <w:qFormat/>
    <w:rsid w:val="00111C7A"/>
    <w:rPr>
      <w:b/>
      <w:bCs/>
      <w:smallCaps/>
      <w:color w:val="0F4761" w:themeColor="accent1" w:themeShade="BF"/>
      <w:spacing w:val="5"/>
    </w:rPr>
  </w:style>
  <w:style w:type="paragraph" w:styleId="Header">
    <w:name w:val="header"/>
    <w:basedOn w:val="Normal"/>
    <w:link w:val="HeaderChar"/>
    <w:uiPriority w:val="99"/>
    <w:unhideWhenUsed/>
    <w:rsid w:val="00804914"/>
    <w:pPr>
      <w:tabs>
        <w:tab w:val="center" w:pos="4513"/>
        <w:tab w:val="right" w:pos="9026"/>
      </w:tabs>
    </w:pPr>
  </w:style>
  <w:style w:type="character" w:customStyle="1" w:styleId="HeaderChar">
    <w:name w:val="Header Char"/>
    <w:basedOn w:val="DefaultParagraphFont"/>
    <w:link w:val="Header"/>
    <w:uiPriority w:val="99"/>
    <w:rsid w:val="00804914"/>
  </w:style>
  <w:style w:type="paragraph" w:styleId="Footer">
    <w:name w:val="footer"/>
    <w:basedOn w:val="Normal"/>
    <w:link w:val="FooterChar"/>
    <w:uiPriority w:val="99"/>
    <w:unhideWhenUsed/>
    <w:rsid w:val="00804914"/>
    <w:pPr>
      <w:tabs>
        <w:tab w:val="center" w:pos="4513"/>
        <w:tab w:val="right" w:pos="9026"/>
      </w:tabs>
    </w:pPr>
  </w:style>
  <w:style w:type="character" w:customStyle="1" w:styleId="FooterChar">
    <w:name w:val="Footer Char"/>
    <w:basedOn w:val="DefaultParagraphFont"/>
    <w:link w:val="Footer"/>
    <w:uiPriority w:val="99"/>
    <w:rsid w:val="00804914"/>
  </w:style>
  <w:style w:type="character" w:styleId="PageNumber">
    <w:name w:val="page number"/>
    <w:basedOn w:val="DefaultParagraphFont"/>
    <w:uiPriority w:val="99"/>
    <w:semiHidden/>
    <w:unhideWhenUsed/>
    <w:rsid w:val="00804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932848">
      <w:bodyDiv w:val="1"/>
      <w:marLeft w:val="0"/>
      <w:marRight w:val="0"/>
      <w:marTop w:val="0"/>
      <w:marBottom w:val="0"/>
      <w:divBdr>
        <w:top w:val="none" w:sz="0" w:space="0" w:color="auto"/>
        <w:left w:val="none" w:sz="0" w:space="0" w:color="auto"/>
        <w:bottom w:val="none" w:sz="0" w:space="0" w:color="auto"/>
        <w:right w:val="none" w:sz="0" w:space="0" w:color="auto"/>
      </w:divBdr>
      <w:divsChild>
        <w:div w:id="1717702358">
          <w:marLeft w:val="0"/>
          <w:marRight w:val="0"/>
          <w:marTop w:val="0"/>
          <w:marBottom w:val="0"/>
          <w:divBdr>
            <w:top w:val="none" w:sz="0" w:space="0" w:color="auto"/>
            <w:left w:val="none" w:sz="0" w:space="0" w:color="auto"/>
            <w:bottom w:val="none" w:sz="0" w:space="0" w:color="auto"/>
            <w:right w:val="none" w:sz="0" w:space="0" w:color="auto"/>
          </w:divBdr>
        </w:div>
      </w:divsChild>
    </w:div>
    <w:div w:id="2081780384">
      <w:bodyDiv w:val="1"/>
      <w:marLeft w:val="0"/>
      <w:marRight w:val="0"/>
      <w:marTop w:val="0"/>
      <w:marBottom w:val="0"/>
      <w:divBdr>
        <w:top w:val="none" w:sz="0" w:space="0" w:color="auto"/>
        <w:left w:val="none" w:sz="0" w:space="0" w:color="auto"/>
        <w:bottom w:val="none" w:sz="0" w:space="0" w:color="auto"/>
        <w:right w:val="none" w:sz="0" w:space="0" w:color="auto"/>
      </w:divBdr>
      <w:divsChild>
        <w:div w:id="1687560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45C7FD3F0244082D6E3BA23A90B5F" ma:contentTypeVersion="10" ma:contentTypeDescription="Create a new document." ma:contentTypeScope="" ma:versionID="c0753219ab80918cf1f70186485da843">
  <xsd:schema xmlns:xsd="http://www.w3.org/2001/XMLSchema" xmlns:xs="http://www.w3.org/2001/XMLSchema" xmlns:p="http://schemas.microsoft.com/office/2006/metadata/properties" xmlns:ns2="1c45e190-a700-41b9-a425-31a51774c916" xmlns:ns3="fe543915-f8b8-4c8a-9192-6674084017da" targetNamespace="http://schemas.microsoft.com/office/2006/metadata/properties" ma:root="true" ma:fieldsID="c24c108c54cee1ed62763e84709f8917" ns2:_="" ns3:_="">
    <xsd:import namespace="1c45e190-a700-41b9-a425-31a51774c916"/>
    <xsd:import namespace="fe543915-f8b8-4c8a-9192-6674084017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5e190-a700-41b9-a425-31a51774c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b882c5-1f6d-4dc1-aa38-c4018a3020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43915-f8b8-4c8a-9192-6674084017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dffb74-a3be-4eb2-810b-1eff7b1aaa3e}" ma:internalName="TaxCatchAll" ma:showField="CatchAllData" ma:web="fe543915-f8b8-4c8a-9192-6674084017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45e190-a700-41b9-a425-31a51774c916">
      <Terms xmlns="http://schemas.microsoft.com/office/infopath/2007/PartnerControls"/>
    </lcf76f155ced4ddcb4097134ff3c332f>
    <TaxCatchAll xmlns="fe543915-f8b8-4c8a-9192-6674084017da" xsi:nil="true"/>
  </documentManagement>
</p:properties>
</file>

<file path=customXml/itemProps1.xml><?xml version="1.0" encoding="utf-8"?>
<ds:datastoreItem xmlns:ds="http://schemas.openxmlformats.org/officeDocument/2006/customXml" ds:itemID="{F18722A1-F1F7-4542-93B6-3D95AAAF4AC9}"/>
</file>

<file path=customXml/itemProps2.xml><?xml version="1.0" encoding="utf-8"?>
<ds:datastoreItem xmlns:ds="http://schemas.openxmlformats.org/officeDocument/2006/customXml" ds:itemID="{E4FE1BA8-C4EC-4B83-840F-9A3A4E31ADC0}"/>
</file>

<file path=customXml/itemProps3.xml><?xml version="1.0" encoding="utf-8"?>
<ds:datastoreItem xmlns:ds="http://schemas.openxmlformats.org/officeDocument/2006/customXml" ds:itemID="{BF2F0D2A-9EA3-442B-9932-85889C4A2555}"/>
</file>

<file path=docProps/app.xml><?xml version="1.0" encoding="utf-8"?>
<Properties xmlns="http://schemas.openxmlformats.org/officeDocument/2006/extended-properties" xmlns:vt="http://schemas.openxmlformats.org/officeDocument/2006/docPropsVTypes">
  <Template>Normal.dotm</Template>
  <TotalTime>18</TotalTime>
  <Pages>7</Pages>
  <Words>1455</Words>
  <Characters>8762</Characters>
  <Application>Microsoft Office Word</Application>
  <DocSecurity>0</DocSecurity>
  <Lines>273</Lines>
  <Paragraphs>106</Paragraphs>
  <ScaleCrop>false</ScaleCrop>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Neale</dc:creator>
  <cp:keywords/>
  <dc:description/>
  <cp:lastModifiedBy>Hannah Neale</cp:lastModifiedBy>
  <cp:revision>7</cp:revision>
  <dcterms:created xsi:type="dcterms:W3CDTF">2025-03-09T03:14:00Z</dcterms:created>
  <dcterms:modified xsi:type="dcterms:W3CDTF">2025-08-02T01:21:00Z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0x01010095B45C7FD3F0244082D6E3BA23A90B5F</vt:lpwstr>
  </property>
</Properties>
</file>